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E97950" w14:textId="173048B5" w:rsidR="002C49A1" w:rsidRDefault="00B60EFE" w:rsidP="00E058F8">
      <w:pPr>
        <w:pStyle w:val="TtulosPortugues"/>
        <w:spacing w:before="0" w:after="0"/>
        <w:rPr>
          <w:rFonts w:cs="Arial"/>
          <w:sz w:val="28"/>
          <w:szCs w:val="28"/>
          <w:lang w:val="en-GB"/>
        </w:rPr>
      </w:pPr>
      <w:r w:rsidRPr="00E058F8">
        <w:rPr>
          <w:rFonts w:cs="Arial"/>
          <w:sz w:val="28"/>
          <w:szCs w:val="28"/>
          <w:lang w:val="en-GB"/>
        </w:rPr>
        <w:t>INTERNATIONAL TECHNOLOGY TRANSFER FOR SUSTAINABLE DEVELOPMENT: AT WHAT COSTS?</w:t>
      </w:r>
    </w:p>
    <w:p w14:paraId="02956ECF" w14:textId="77777777" w:rsidR="00E058F8" w:rsidRPr="00E058F8" w:rsidRDefault="00E058F8" w:rsidP="00E058F8">
      <w:pPr>
        <w:pStyle w:val="TtuloIngls"/>
        <w:spacing w:after="0"/>
        <w:rPr>
          <w:lang w:val="en-GB"/>
        </w:rPr>
      </w:pPr>
    </w:p>
    <w:p w14:paraId="0BDF9761" w14:textId="6095F50A" w:rsidR="002C49A1" w:rsidRDefault="003D5E3A" w:rsidP="00E058F8">
      <w:pPr>
        <w:pStyle w:val="TtuloIngls"/>
        <w:spacing w:after="0"/>
        <w:rPr>
          <w:rFonts w:cs="Arial"/>
          <w:sz w:val="28"/>
          <w:szCs w:val="28"/>
        </w:rPr>
      </w:pPr>
      <w:r w:rsidRPr="00E058F8">
        <w:rPr>
          <w:rFonts w:cs="Arial"/>
          <w:sz w:val="28"/>
          <w:szCs w:val="28"/>
        </w:rPr>
        <w:t>Transferência internacional de tecnologia para o desenvolvimento sustentável: a que custos?</w:t>
      </w:r>
    </w:p>
    <w:p w14:paraId="0C9853C9" w14:textId="77777777" w:rsidR="00E058F8" w:rsidRPr="00E058F8" w:rsidRDefault="00E058F8" w:rsidP="00E058F8">
      <w:pPr>
        <w:pStyle w:val="Resumo"/>
        <w:spacing w:after="0"/>
      </w:pPr>
    </w:p>
    <w:p w14:paraId="1BBF2940" w14:textId="344A6750" w:rsidR="002C49A1" w:rsidRPr="00E058F8" w:rsidRDefault="00B60EFE" w:rsidP="00E058F8">
      <w:pPr>
        <w:pStyle w:val="Autor1"/>
        <w:rPr>
          <w:sz w:val="22"/>
          <w:szCs w:val="22"/>
          <w:lang w:val="pt-BR"/>
        </w:rPr>
      </w:pPr>
      <w:r w:rsidRPr="00E058F8">
        <w:rPr>
          <w:sz w:val="22"/>
          <w:szCs w:val="22"/>
          <w:lang w:val="pt-BR"/>
        </w:rPr>
        <w:t xml:space="preserve">Fabíola de Moraes </w:t>
      </w:r>
      <w:proofErr w:type="spellStart"/>
      <w:r w:rsidRPr="00E058F8">
        <w:rPr>
          <w:sz w:val="22"/>
          <w:szCs w:val="22"/>
          <w:lang w:val="pt-BR"/>
        </w:rPr>
        <w:t>Spiandorello</w:t>
      </w:r>
      <w:proofErr w:type="spellEnd"/>
      <w:r w:rsidR="00E058F8">
        <w:rPr>
          <w:sz w:val="22"/>
          <w:szCs w:val="22"/>
          <w:lang w:val="pt-BR"/>
        </w:rPr>
        <w:t xml:space="preserve"> </w:t>
      </w:r>
      <w:r w:rsidR="002C49A1" w:rsidRPr="00E058F8">
        <w:rPr>
          <w:rStyle w:val="Refdenotaderodap"/>
          <w:sz w:val="22"/>
          <w:szCs w:val="22"/>
          <w:lang w:val="pt-BR"/>
        </w:rPr>
        <w:footnoteReference w:id="1"/>
      </w:r>
    </w:p>
    <w:p w14:paraId="0F9E3AE5" w14:textId="256A3A69" w:rsidR="002C49A1" w:rsidRPr="00E058F8" w:rsidRDefault="00B60EFE" w:rsidP="00E058F8">
      <w:pPr>
        <w:pStyle w:val="Autor1"/>
        <w:rPr>
          <w:sz w:val="22"/>
          <w:szCs w:val="22"/>
          <w:lang w:val="pt-BR"/>
        </w:rPr>
      </w:pPr>
      <w:r w:rsidRPr="00E058F8">
        <w:rPr>
          <w:sz w:val="22"/>
          <w:szCs w:val="22"/>
          <w:lang w:val="pt-BR"/>
        </w:rPr>
        <w:t>Wanda Aparecida Machado Hoffmann</w:t>
      </w:r>
      <w:r w:rsidR="00E058F8">
        <w:rPr>
          <w:sz w:val="22"/>
          <w:szCs w:val="22"/>
          <w:lang w:val="pt-BR"/>
        </w:rPr>
        <w:t xml:space="preserve"> </w:t>
      </w:r>
      <w:r w:rsidR="002C49A1" w:rsidRPr="00E058F8">
        <w:rPr>
          <w:rStyle w:val="Refdenotaderodap"/>
          <w:sz w:val="22"/>
          <w:szCs w:val="22"/>
          <w:lang w:val="pt-BR"/>
        </w:rPr>
        <w:footnoteReference w:id="2"/>
      </w:r>
    </w:p>
    <w:p w14:paraId="19DC5234" w14:textId="77777777" w:rsidR="00E058F8" w:rsidRPr="00E058F8" w:rsidRDefault="00E058F8" w:rsidP="00BB0B57">
      <w:pPr>
        <w:pStyle w:val="Resumo"/>
        <w:spacing w:after="0"/>
        <w:rPr>
          <w:rFonts w:cs="Arial"/>
          <w:szCs w:val="22"/>
        </w:rPr>
      </w:pPr>
    </w:p>
    <w:p w14:paraId="33462872" w14:textId="1F9BD9AE" w:rsidR="002C49A1" w:rsidRPr="00E058F8" w:rsidRDefault="002C49A1" w:rsidP="00BB0B57">
      <w:pPr>
        <w:pStyle w:val="Resumo"/>
        <w:spacing w:after="0"/>
        <w:rPr>
          <w:rFonts w:cs="Arial"/>
          <w:szCs w:val="22"/>
          <w:lang w:val="en-US"/>
        </w:rPr>
      </w:pPr>
      <w:r w:rsidRPr="00E058F8">
        <w:rPr>
          <w:rFonts w:cs="Arial"/>
          <w:b/>
          <w:szCs w:val="22"/>
          <w:lang w:val="en-US"/>
        </w:rPr>
        <w:t>Abstract:</w:t>
      </w:r>
      <w:r w:rsidRPr="00E058F8">
        <w:rPr>
          <w:rFonts w:cs="Arial"/>
          <w:szCs w:val="22"/>
          <w:lang w:val="en-US"/>
        </w:rPr>
        <w:t xml:space="preserve"> </w:t>
      </w:r>
      <w:r w:rsidR="00B60EFE" w:rsidRPr="00E058F8">
        <w:rPr>
          <w:rFonts w:cs="Arial"/>
          <w:szCs w:val="22"/>
          <w:lang w:val="en-US"/>
        </w:rPr>
        <w:t>During the United Nations Conference on Sustainable Development, gathered in Rio de Janeiro from 20 to 22 June 2012, one of the common vision designed in the document “The Future We Want” is the need to achieve sustainable development by promoting sustained, inclusive and equitable economic growth, creating greater opportunities for all and reducing inequalities, among others. Research and innovation in higher education institutions in developing countries, allied to the promotion of collaboration among research institutions, universities, the private sector etc., are some of the means to reduce inequalities and contribute to the sustainable development (UNITED</w:t>
      </w:r>
      <w:r w:rsidR="00B67091">
        <w:rPr>
          <w:rFonts w:cs="Arial"/>
          <w:szCs w:val="22"/>
          <w:lang w:val="en-US"/>
        </w:rPr>
        <w:t>…</w:t>
      </w:r>
      <w:r w:rsidR="00B60EFE" w:rsidRPr="00E058F8">
        <w:rPr>
          <w:rFonts w:cs="Arial"/>
          <w:szCs w:val="22"/>
          <w:lang w:val="en-US"/>
        </w:rPr>
        <w:t xml:space="preserve">, 2012, p. 2, 45, 52). In this meaning, the goal of this research project is to identify and </w:t>
      </w:r>
      <w:r w:rsidR="009306E7" w:rsidRPr="00E058F8">
        <w:rPr>
          <w:rFonts w:cs="Arial"/>
          <w:szCs w:val="22"/>
          <w:lang w:val="en-US"/>
        </w:rPr>
        <w:t>analyze</w:t>
      </w:r>
      <w:r w:rsidR="00B60EFE" w:rsidRPr="00E058F8">
        <w:rPr>
          <w:rFonts w:cs="Arial"/>
          <w:szCs w:val="22"/>
          <w:lang w:val="en-US"/>
        </w:rPr>
        <w:t xml:space="preserve"> elements that affect the insertion of universities in the global value chain regarding innovation. </w:t>
      </w:r>
      <w:proofErr w:type="gramStart"/>
      <w:r w:rsidR="00B60EFE" w:rsidRPr="00E058F8">
        <w:rPr>
          <w:rFonts w:cs="Arial"/>
          <w:szCs w:val="22"/>
          <w:lang w:val="en-US"/>
        </w:rPr>
        <w:t xml:space="preserve">Based on three research subjects: international strategic alliances (ISA), open innovation – particularly concerning academy-industry cooperation – and transaction costs theory (TCT), it is expected to be possible to understand how the academy can engage in international innovation – and </w:t>
      </w:r>
      <w:r w:rsidR="009306E7" w:rsidRPr="00E058F8">
        <w:rPr>
          <w:rFonts w:cs="Arial"/>
          <w:szCs w:val="22"/>
          <w:lang w:val="en-US"/>
        </w:rPr>
        <w:t>analyze</w:t>
      </w:r>
      <w:r w:rsidR="00B60EFE" w:rsidRPr="00E058F8">
        <w:rPr>
          <w:rFonts w:cs="Arial"/>
          <w:szCs w:val="22"/>
          <w:lang w:val="en-US"/>
        </w:rPr>
        <w:t xml:space="preserve"> what are the differences between Brazilian universities and similar institutions located elsewhere</w:t>
      </w:r>
      <w:r w:rsidRPr="00E058F8">
        <w:rPr>
          <w:rFonts w:cs="Arial"/>
          <w:szCs w:val="22"/>
          <w:lang w:val="en-US"/>
        </w:rPr>
        <w:t>.</w:t>
      </w:r>
      <w:proofErr w:type="gramEnd"/>
    </w:p>
    <w:p w14:paraId="5F2D0BDA" w14:textId="60DB3B6C" w:rsidR="00BB0B57" w:rsidRPr="00E058F8" w:rsidRDefault="002C49A1" w:rsidP="00E058F8">
      <w:pPr>
        <w:pStyle w:val="Palavras-chave"/>
        <w:spacing w:after="0"/>
        <w:rPr>
          <w:szCs w:val="22"/>
        </w:rPr>
      </w:pPr>
      <w:r w:rsidRPr="00E058F8">
        <w:rPr>
          <w:rFonts w:cs="Arial"/>
          <w:b/>
          <w:szCs w:val="22"/>
          <w:lang w:val="en-US"/>
        </w:rPr>
        <w:t>Keywords:</w:t>
      </w:r>
      <w:r w:rsidRPr="00E058F8">
        <w:rPr>
          <w:rFonts w:cs="Arial"/>
          <w:szCs w:val="22"/>
          <w:lang w:val="en-US"/>
        </w:rPr>
        <w:t xml:space="preserve"> </w:t>
      </w:r>
      <w:r w:rsidR="003D5E3A" w:rsidRPr="00E058F8">
        <w:rPr>
          <w:rFonts w:cs="Arial"/>
          <w:szCs w:val="22"/>
          <w:lang w:val="en-US"/>
        </w:rPr>
        <w:t xml:space="preserve">intellectual property. </w:t>
      </w:r>
      <w:proofErr w:type="gramStart"/>
      <w:r w:rsidR="003D5E3A" w:rsidRPr="00E058F8">
        <w:rPr>
          <w:rFonts w:cs="Arial"/>
          <w:szCs w:val="22"/>
          <w:lang w:val="en-US"/>
        </w:rPr>
        <w:t>Knowledge transfer.</w:t>
      </w:r>
      <w:proofErr w:type="gramEnd"/>
      <w:r w:rsidR="003D5E3A" w:rsidRPr="00E058F8">
        <w:rPr>
          <w:rFonts w:cs="Arial"/>
          <w:szCs w:val="22"/>
          <w:lang w:val="en-US"/>
        </w:rPr>
        <w:t xml:space="preserve"> </w:t>
      </w:r>
      <w:proofErr w:type="gramStart"/>
      <w:r w:rsidR="003D5E3A" w:rsidRPr="00E058F8">
        <w:rPr>
          <w:rFonts w:cs="Arial"/>
          <w:szCs w:val="22"/>
          <w:lang w:val="en-US"/>
        </w:rPr>
        <w:t>International contracts.</w:t>
      </w:r>
      <w:proofErr w:type="gramEnd"/>
      <w:r w:rsidR="003D5E3A" w:rsidRPr="00E058F8">
        <w:rPr>
          <w:rFonts w:cs="Arial"/>
          <w:szCs w:val="22"/>
          <w:lang w:val="en-US"/>
        </w:rPr>
        <w:t xml:space="preserve"> </w:t>
      </w:r>
      <w:proofErr w:type="gramStart"/>
      <w:r w:rsidR="003D5E3A" w:rsidRPr="00E058F8">
        <w:rPr>
          <w:rFonts w:cs="Arial"/>
          <w:szCs w:val="22"/>
          <w:lang w:val="en-US"/>
        </w:rPr>
        <w:t>International strategic alliances.</w:t>
      </w:r>
      <w:proofErr w:type="gramEnd"/>
      <w:r w:rsidR="003D5E3A" w:rsidRPr="00E058F8">
        <w:rPr>
          <w:rFonts w:cs="Arial"/>
          <w:szCs w:val="22"/>
          <w:lang w:val="en-US"/>
        </w:rPr>
        <w:t xml:space="preserve"> </w:t>
      </w:r>
      <w:proofErr w:type="spellStart"/>
      <w:r w:rsidR="003D5E3A" w:rsidRPr="00E058F8">
        <w:rPr>
          <w:rFonts w:cs="Arial"/>
          <w:szCs w:val="22"/>
        </w:rPr>
        <w:t>Academy-industry</w:t>
      </w:r>
      <w:proofErr w:type="spellEnd"/>
      <w:r w:rsidR="003D5E3A" w:rsidRPr="00E058F8">
        <w:rPr>
          <w:rFonts w:cs="Arial"/>
          <w:szCs w:val="22"/>
        </w:rPr>
        <w:t xml:space="preserve"> </w:t>
      </w:r>
      <w:proofErr w:type="spellStart"/>
      <w:r w:rsidR="003D5E3A" w:rsidRPr="00E058F8">
        <w:rPr>
          <w:rFonts w:cs="Arial"/>
          <w:szCs w:val="22"/>
        </w:rPr>
        <w:t>cooperation</w:t>
      </w:r>
      <w:proofErr w:type="spellEnd"/>
      <w:r w:rsidRPr="00E058F8">
        <w:rPr>
          <w:rFonts w:cs="Arial"/>
          <w:szCs w:val="22"/>
        </w:rPr>
        <w:t>.</w:t>
      </w:r>
    </w:p>
    <w:p w14:paraId="5AED514D" w14:textId="77777777" w:rsidR="00BB0B57" w:rsidRDefault="00BB0B57" w:rsidP="00BB0B57">
      <w:pPr>
        <w:pStyle w:val="Palavras-chave"/>
        <w:spacing w:after="0"/>
        <w:rPr>
          <w:szCs w:val="22"/>
        </w:rPr>
      </w:pPr>
    </w:p>
    <w:p w14:paraId="774F9985" w14:textId="77777777" w:rsidR="00E058F8" w:rsidRPr="00E058F8" w:rsidRDefault="00E058F8" w:rsidP="00E058F8">
      <w:pPr>
        <w:pStyle w:val="Resumo"/>
        <w:spacing w:after="0"/>
      </w:pPr>
    </w:p>
    <w:p w14:paraId="2B86A635" w14:textId="0F2A1448" w:rsidR="003D5E3A" w:rsidRPr="00E058F8" w:rsidRDefault="003D5E3A" w:rsidP="00BB0B57">
      <w:pPr>
        <w:pStyle w:val="Resumo"/>
        <w:spacing w:after="0"/>
        <w:rPr>
          <w:rFonts w:cs="Arial"/>
          <w:szCs w:val="22"/>
        </w:rPr>
      </w:pPr>
      <w:r w:rsidRPr="00E058F8">
        <w:rPr>
          <w:rFonts w:cs="Arial"/>
          <w:b/>
          <w:szCs w:val="22"/>
        </w:rPr>
        <w:t>Resumo:</w:t>
      </w:r>
      <w:r w:rsidRPr="00E058F8">
        <w:rPr>
          <w:rFonts w:cs="Arial"/>
          <w:szCs w:val="22"/>
        </w:rPr>
        <w:t xml:space="preserve"> Durante a Conferência das Nações Unidas sobre Desenvolvimento Sustentável, ocorrida no Rio de Janeiro entre 20 e 22 de Junho de 2012, uma das visões comuns designadas no documento “O Futuro que Queremos” é a necessidade de atingir o desenvolvimento sustentável por meio da promoção do crescimento econômico sustentável, inclusivo e equitativo, entre outros. Pesquisa e inovação em instituições de ensino superior dos países em desenvolvimento, aliadas à promoção da colaboração entre </w:t>
      </w:r>
      <w:r w:rsidR="009306E7" w:rsidRPr="00E058F8">
        <w:rPr>
          <w:rFonts w:cs="Arial"/>
          <w:szCs w:val="22"/>
        </w:rPr>
        <w:t>organizações</w:t>
      </w:r>
      <w:r w:rsidRPr="00E058F8">
        <w:rPr>
          <w:rFonts w:cs="Arial"/>
          <w:szCs w:val="22"/>
        </w:rPr>
        <w:t xml:space="preserve"> de pesquisa, universidades, setor privado etc., são alguns dos meios para reduzir as desigualdades e contribuir para o desenvolvimento sustentável (UNITED</w:t>
      </w:r>
      <w:r w:rsidR="00B67091">
        <w:rPr>
          <w:rFonts w:cs="Arial"/>
          <w:szCs w:val="22"/>
        </w:rPr>
        <w:t>...</w:t>
      </w:r>
      <w:r w:rsidRPr="00E058F8">
        <w:rPr>
          <w:rFonts w:cs="Arial"/>
          <w:szCs w:val="22"/>
        </w:rPr>
        <w:t xml:space="preserve">, 2012, p. 2, 45, 52). Nesse sentido, o objetivo deste projeto de pesquisa é identificar e analisar elementos que afetam a inserção das universidades na cadeia global de valor pertinente à inovação. Baseado em três referenciais teóricos: alianças estratégicas internacionais, inovação aberta – particularmente pertinente à cooperação universidade-empresa – e teoria dos custos de transação, espera-se compreender como a academia pode se engajar </w:t>
      </w:r>
      <w:r w:rsidR="009306E7" w:rsidRPr="00E058F8">
        <w:rPr>
          <w:rFonts w:cs="Arial"/>
          <w:szCs w:val="22"/>
        </w:rPr>
        <w:t>em</w:t>
      </w:r>
      <w:r w:rsidRPr="00E058F8">
        <w:rPr>
          <w:rFonts w:cs="Arial"/>
          <w:szCs w:val="22"/>
        </w:rPr>
        <w:t xml:space="preserve"> inovação </w:t>
      </w:r>
      <w:r w:rsidR="009306E7" w:rsidRPr="00E058F8">
        <w:rPr>
          <w:rFonts w:cs="Arial"/>
          <w:szCs w:val="22"/>
        </w:rPr>
        <w:t>global</w:t>
      </w:r>
      <w:r w:rsidRPr="00E058F8">
        <w:rPr>
          <w:rFonts w:cs="Arial"/>
          <w:szCs w:val="22"/>
        </w:rPr>
        <w:t xml:space="preserve"> – e analisar quais são as diferenças entre as universidades brasileiras e suas </w:t>
      </w:r>
      <w:r w:rsidR="009306E7" w:rsidRPr="00E058F8">
        <w:rPr>
          <w:rFonts w:cs="Arial"/>
          <w:szCs w:val="22"/>
        </w:rPr>
        <w:t>similares</w:t>
      </w:r>
      <w:r w:rsidRPr="00E058F8">
        <w:rPr>
          <w:rFonts w:cs="Arial"/>
          <w:szCs w:val="22"/>
        </w:rPr>
        <w:t xml:space="preserve"> estrangeiras.</w:t>
      </w:r>
    </w:p>
    <w:p w14:paraId="4F80AF54" w14:textId="412A6824" w:rsidR="00544771" w:rsidRPr="00E058F8" w:rsidRDefault="003D5E3A" w:rsidP="00BB0B57">
      <w:pPr>
        <w:pStyle w:val="Palavras-chave"/>
        <w:spacing w:after="0"/>
        <w:rPr>
          <w:szCs w:val="22"/>
          <w:lang w:val="en-US"/>
        </w:rPr>
      </w:pPr>
      <w:r w:rsidRPr="00E058F8">
        <w:rPr>
          <w:rFonts w:cs="Arial"/>
          <w:b/>
          <w:szCs w:val="22"/>
        </w:rPr>
        <w:t>Palavras-chave:</w:t>
      </w:r>
      <w:r w:rsidRPr="00E058F8">
        <w:rPr>
          <w:rFonts w:cs="Arial"/>
          <w:szCs w:val="22"/>
        </w:rPr>
        <w:t xml:space="preserve"> propriedade intelectual. Transferência de conhecimento. </w:t>
      </w:r>
      <w:proofErr w:type="spellStart"/>
      <w:proofErr w:type="gramStart"/>
      <w:r w:rsidRPr="00E058F8">
        <w:rPr>
          <w:rFonts w:cs="Arial"/>
          <w:szCs w:val="22"/>
          <w:lang w:val="en-US"/>
        </w:rPr>
        <w:t>Contratos</w:t>
      </w:r>
      <w:proofErr w:type="spellEnd"/>
      <w:r w:rsidRPr="00E058F8">
        <w:rPr>
          <w:rFonts w:cs="Arial"/>
          <w:szCs w:val="22"/>
          <w:lang w:val="en-US"/>
        </w:rPr>
        <w:t xml:space="preserve"> </w:t>
      </w:r>
      <w:proofErr w:type="spellStart"/>
      <w:r w:rsidRPr="00E058F8">
        <w:rPr>
          <w:rFonts w:cs="Arial"/>
          <w:szCs w:val="22"/>
          <w:lang w:val="en-US"/>
        </w:rPr>
        <w:t>internacionais</w:t>
      </w:r>
      <w:proofErr w:type="spellEnd"/>
      <w:r w:rsidRPr="00E058F8">
        <w:rPr>
          <w:rFonts w:cs="Arial"/>
          <w:szCs w:val="22"/>
          <w:lang w:val="en-US"/>
        </w:rPr>
        <w:t>.</w:t>
      </w:r>
      <w:proofErr w:type="gramEnd"/>
      <w:r w:rsidRPr="00E058F8">
        <w:rPr>
          <w:rFonts w:cs="Arial"/>
          <w:szCs w:val="22"/>
          <w:lang w:val="en-US"/>
        </w:rPr>
        <w:t xml:space="preserve"> </w:t>
      </w:r>
      <w:proofErr w:type="spellStart"/>
      <w:proofErr w:type="gramStart"/>
      <w:r w:rsidRPr="00E058F8">
        <w:rPr>
          <w:rFonts w:cs="Arial"/>
          <w:szCs w:val="22"/>
          <w:lang w:val="en-US"/>
        </w:rPr>
        <w:t>Alianças</w:t>
      </w:r>
      <w:proofErr w:type="spellEnd"/>
      <w:r w:rsidRPr="00E058F8">
        <w:rPr>
          <w:rFonts w:cs="Arial"/>
          <w:szCs w:val="22"/>
          <w:lang w:val="en-US"/>
        </w:rPr>
        <w:t xml:space="preserve"> </w:t>
      </w:r>
      <w:proofErr w:type="spellStart"/>
      <w:r w:rsidRPr="00E058F8">
        <w:rPr>
          <w:rFonts w:cs="Arial"/>
          <w:szCs w:val="22"/>
          <w:lang w:val="en-US"/>
        </w:rPr>
        <w:t>estratégicas</w:t>
      </w:r>
      <w:proofErr w:type="spellEnd"/>
      <w:r w:rsidRPr="00E058F8">
        <w:rPr>
          <w:rFonts w:cs="Arial"/>
          <w:szCs w:val="22"/>
          <w:lang w:val="en-US"/>
        </w:rPr>
        <w:t xml:space="preserve"> </w:t>
      </w:r>
      <w:proofErr w:type="spellStart"/>
      <w:r w:rsidRPr="00E058F8">
        <w:rPr>
          <w:rFonts w:cs="Arial"/>
          <w:szCs w:val="22"/>
          <w:lang w:val="en-US"/>
        </w:rPr>
        <w:t>internacionais</w:t>
      </w:r>
      <w:proofErr w:type="spellEnd"/>
      <w:r w:rsidRPr="00E058F8">
        <w:rPr>
          <w:rFonts w:cs="Arial"/>
          <w:szCs w:val="22"/>
          <w:lang w:val="en-US"/>
        </w:rPr>
        <w:t>.</w:t>
      </w:r>
      <w:proofErr w:type="gramEnd"/>
      <w:r w:rsidRPr="00E058F8">
        <w:rPr>
          <w:rFonts w:cs="Arial"/>
          <w:szCs w:val="22"/>
          <w:lang w:val="en-US"/>
        </w:rPr>
        <w:t xml:space="preserve"> </w:t>
      </w:r>
      <w:proofErr w:type="spellStart"/>
      <w:proofErr w:type="gramStart"/>
      <w:r w:rsidRPr="00E058F8">
        <w:rPr>
          <w:rFonts w:cs="Arial"/>
          <w:szCs w:val="22"/>
          <w:lang w:val="en-US"/>
        </w:rPr>
        <w:t>Cooperação</w:t>
      </w:r>
      <w:proofErr w:type="spellEnd"/>
      <w:r w:rsidRPr="00E058F8">
        <w:rPr>
          <w:rFonts w:cs="Arial"/>
          <w:szCs w:val="22"/>
          <w:lang w:val="en-US"/>
        </w:rPr>
        <w:t xml:space="preserve"> </w:t>
      </w:r>
      <w:proofErr w:type="spellStart"/>
      <w:r w:rsidRPr="00E058F8">
        <w:rPr>
          <w:rFonts w:cs="Arial"/>
          <w:szCs w:val="22"/>
          <w:lang w:val="en-US"/>
        </w:rPr>
        <w:t>universidade-empresa</w:t>
      </w:r>
      <w:proofErr w:type="spellEnd"/>
      <w:r w:rsidRPr="00E058F8">
        <w:rPr>
          <w:rFonts w:cs="Arial"/>
          <w:szCs w:val="22"/>
          <w:lang w:val="en-US"/>
        </w:rPr>
        <w:t>.</w:t>
      </w:r>
      <w:proofErr w:type="gramEnd"/>
    </w:p>
    <w:p w14:paraId="2DEC6E8C" w14:textId="77777777" w:rsidR="002C49A1" w:rsidRPr="00B60EFE" w:rsidRDefault="002C49A1" w:rsidP="002C49A1">
      <w:pPr>
        <w:pStyle w:val="Pargrafo"/>
        <w:rPr>
          <w:lang w:val="en-US" w:eastAsia="en-US"/>
        </w:rPr>
        <w:sectPr w:rsidR="002C49A1" w:rsidRPr="00B60EFE" w:rsidSect="00362062">
          <w:footerReference w:type="default" r:id="rId9"/>
          <w:headerReference w:type="first" r:id="rId10"/>
          <w:footerReference w:type="first" r:id="rId11"/>
          <w:type w:val="continuous"/>
          <w:pgSz w:w="11907" w:h="16840" w:code="9"/>
          <w:pgMar w:top="1701" w:right="1134" w:bottom="1134" w:left="1701" w:header="794" w:footer="720" w:gutter="0"/>
          <w:pgNumType w:start="2"/>
          <w:cols w:space="720"/>
          <w:titlePg/>
          <w:docGrid w:linePitch="326"/>
        </w:sectPr>
      </w:pPr>
    </w:p>
    <w:p w14:paraId="65EAE391"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lastRenderedPageBreak/>
        <w:t>1 Introduction</w:t>
      </w:r>
    </w:p>
    <w:p w14:paraId="7F29303A"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Stablishing inter-organizational R&amp;D strategic alliances (SA) have been becoming more common as long as knowledge generation is requiring different technological and scientific fields to be put together. One of its internal characteristics is the transaction costs inherent for stablishing cooperation among different organizations. These costs may be analysed by the clauses which integrate such contracts and regulate intellectual property (IP) ownership, further development of the technology, financial terms of the license (or assignment) etc.</w:t>
      </w:r>
    </w:p>
    <w:p w14:paraId="6A2C1941"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Features like nature of the technology transfer (REDDY; ZHAO, 1990), development stage of the technology (BOZEMAN, 2015), political and social systems allied to language and religion (MALIK, 2000), IP ownership and commercialization (WIPO, 2015), strategies and characteristics of the contracting parties (KIRCHBERGER; POHL, 2016) were successful analysed elsewhere.</w:t>
      </w:r>
    </w:p>
    <w:p w14:paraId="38D1B9F1"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These features may be reflected in contracts (or agreements) and, allied with other information available, can be analysed as variables inherent to transaction costs that arise during the formation of SA, regardless the organizations are taking part in it.</w:t>
      </w:r>
    </w:p>
    <w:p w14:paraId="60D71888" w14:textId="77777777" w:rsidR="00227257" w:rsidRPr="00E058F8" w:rsidRDefault="00227257" w:rsidP="00227257">
      <w:pPr>
        <w:spacing w:line="360" w:lineRule="auto"/>
        <w:jc w:val="both"/>
        <w:rPr>
          <w:rFonts w:ascii="Arial" w:hAnsi="Arial" w:cs="Arial"/>
          <w:sz w:val="22"/>
          <w:szCs w:val="22"/>
          <w:lang w:val="en-GB"/>
        </w:rPr>
      </w:pPr>
    </w:p>
    <w:p w14:paraId="36D50C46"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 xml:space="preserve">2 Theoretical </w:t>
      </w:r>
      <w:proofErr w:type="gramStart"/>
      <w:r w:rsidRPr="00E058F8">
        <w:rPr>
          <w:rFonts w:ascii="Arial" w:hAnsi="Arial" w:cs="Arial"/>
          <w:b/>
          <w:sz w:val="22"/>
          <w:szCs w:val="22"/>
          <w:lang w:val="en-GB"/>
        </w:rPr>
        <w:t>Framework</w:t>
      </w:r>
      <w:proofErr w:type="gramEnd"/>
    </w:p>
    <w:p w14:paraId="26449E5E" w14:textId="77777777" w:rsidR="00227257" w:rsidRPr="00E058F8" w:rsidRDefault="00227257" w:rsidP="00227257">
      <w:pPr>
        <w:spacing w:line="360" w:lineRule="auto"/>
        <w:jc w:val="both"/>
        <w:rPr>
          <w:rFonts w:ascii="Arial" w:hAnsi="Arial" w:cs="Arial"/>
          <w:sz w:val="22"/>
          <w:szCs w:val="22"/>
          <w:lang w:val="en-GB"/>
        </w:rPr>
      </w:pPr>
    </w:p>
    <w:p w14:paraId="317C33D2"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2.1 International Strategic Alliances</w:t>
      </w:r>
    </w:p>
    <w:p w14:paraId="04DCD78F"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 xml:space="preserve">The blooming of ISA among companies during the 1990s had been notice since the 2000s (KANG; SAKAI, 2000; CALOGHIROU </w:t>
      </w:r>
      <w:r w:rsidRPr="00E058F8">
        <w:rPr>
          <w:rFonts w:ascii="Arial" w:hAnsi="Arial" w:cs="Arial"/>
          <w:i/>
          <w:sz w:val="22"/>
          <w:szCs w:val="22"/>
          <w:lang w:val="en-GB"/>
        </w:rPr>
        <w:t>et al.</w:t>
      </w:r>
      <w:r w:rsidRPr="00E058F8">
        <w:rPr>
          <w:rFonts w:ascii="Arial" w:hAnsi="Arial" w:cs="Arial"/>
          <w:sz w:val="22"/>
          <w:szCs w:val="22"/>
          <w:lang w:val="en-GB"/>
        </w:rPr>
        <w:t>, 2003), driven by firms necessity of lowering research costs, strengthening market presence and accessing intangible assets such as managerial skills and knowledge of markets.</w:t>
      </w:r>
    </w:p>
    <w:p w14:paraId="27463B61" w14:textId="77777777" w:rsidR="00227257" w:rsidRPr="00E058F8" w:rsidRDefault="00227257" w:rsidP="00227257">
      <w:pPr>
        <w:spacing w:line="360" w:lineRule="auto"/>
        <w:ind w:firstLine="708"/>
        <w:jc w:val="both"/>
        <w:rPr>
          <w:rFonts w:ascii="Arial" w:hAnsi="Arial" w:cs="Arial"/>
          <w:sz w:val="22"/>
          <w:szCs w:val="22"/>
          <w:lang w:val="en-GB"/>
        </w:rPr>
      </w:pPr>
      <w:proofErr w:type="spellStart"/>
      <w:r w:rsidRPr="00E058F8">
        <w:rPr>
          <w:rFonts w:ascii="Arial" w:hAnsi="Arial" w:cs="Arial"/>
          <w:sz w:val="22"/>
          <w:szCs w:val="22"/>
          <w:lang w:val="en-GB"/>
        </w:rPr>
        <w:t>Teece</w:t>
      </w:r>
      <w:proofErr w:type="spellEnd"/>
      <w:r w:rsidRPr="00E058F8">
        <w:rPr>
          <w:rFonts w:ascii="Arial" w:hAnsi="Arial" w:cs="Arial"/>
          <w:sz w:val="22"/>
          <w:szCs w:val="22"/>
          <w:lang w:val="en-GB"/>
        </w:rPr>
        <w:t xml:space="preserve"> (1992) defines SAs as a web of agreements whereby two or more partners share the commitment to reach a common goal by pooling their resources together and coordinating their activities. When these agreements concern about two or more organizations engaging in cooperative research and development (R&amp;D) activities for generating technological advances, one can say there is a R&amp;D strategic alliance.</w:t>
      </w:r>
    </w:p>
    <w:p w14:paraId="4C60B514" w14:textId="77777777" w:rsidR="00227257" w:rsidRPr="00E058F8" w:rsidRDefault="00227257" w:rsidP="00227257">
      <w:pPr>
        <w:spacing w:line="360" w:lineRule="auto"/>
        <w:rPr>
          <w:rFonts w:ascii="Arial" w:hAnsi="Arial" w:cs="Arial"/>
          <w:sz w:val="22"/>
          <w:szCs w:val="22"/>
          <w:lang w:val="en-GB"/>
        </w:rPr>
      </w:pPr>
    </w:p>
    <w:p w14:paraId="350FACFD"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2.2 Open Innovation</w:t>
      </w:r>
    </w:p>
    <w:p w14:paraId="356C2EE4"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 xml:space="preserve">According to </w:t>
      </w:r>
      <w:proofErr w:type="spellStart"/>
      <w:r w:rsidRPr="00E058F8">
        <w:rPr>
          <w:rFonts w:ascii="Arial" w:hAnsi="Arial" w:cs="Arial"/>
          <w:sz w:val="22"/>
          <w:szCs w:val="22"/>
          <w:lang w:val="en-GB"/>
        </w:rPr>
        <w:t>Chesbrough</w:t>
      </w:r>
      <w:proofErr w:type="spellEnd"/>
      <w:r w:rsidRPr="00E058F8">
        <w:rPr>
          <w:rFonts w:ascii="Arial" w:hAnsi="Arial" w:cs="Arial"/>
          <w:sz w:val="22"/>
          <w:szCs w:val="22"/>
          <w:lang w:val="en-GB"/>
        </w:rPr>
        <w:t xml:space="preserve"> (2003), a single organization cannot innovate in isolation, it has to engage with different partners to acquire ideas and resources from external environment to stay abreast of competition; this is the starting point for opening firms’ processes (DAHLANDER; GANN, 2010).</w:t>
      </w:r>
    </w:p>
    <w:p w14:paraId="124FB786" w14:textId="77777777" w:rsidR="00227257" w:rsidRPr="00E058F8" w:rsidRDefault="00227257" w:rsidP="00227257">
      <w:pPr>
        <w:spacing w:line="360" w:lineRule="auto"/>
        <w:ind w:firstLine="708"/>
        <w:jc w:val="both"/>
        <w:rPr>
          <w:rFonts w:ascii="Arial" w:hAnsi="Arial" w:cs="Arial"/>
          <w:sz w:val="22"/>
          <w:szCs w:val="22"/>
          <w:lang w:val="en-GB"/>
        </w:rPr>
      </w:pPr>
      <w:proofErr w:type="spellStart"/>
      <w:r w:rsidRPr="00E058F8">
        <w:rPr>
          <w:rFonts w:ascii="Arial" w:hAnsi="Arial" w:cs="Arial"/>
          <w:sz w:val="22"/>
          <w:szCs w:val="22"/>
          <w:lang w:val="en-GB"/>
        </w:rPr>
        <w:lastRenderedPageBreak/>
        <w:t>Morandi</w:t>
      </w:r>
      <w:proofErr w:type="spellEnd"/>
      <w:r w:rsidRPr="00E058F8">
        <w:rPr>
          <w:rFonts w:ascii="Arial" w:hAnsi="Arial" w:cs="Arial"/>
          <w:sz w:val="22"/>
          <w:szCs w:val="22"/>
          <w:lang w:val="en-GB"/>
        </w:rPr>
        <w:t xml:space="preserve"> (2013) states that R&amp;D cooperation is a form of strategic alliance, besides being an open innovation mode, so it is expected participants shall face challenges in both R&amp;D and alliance management. Besides, industry-university joint research projects differ from inter-firm cooperative agreements in research aims and relational aspects, presenting higher uncertainty – caused by more ambitious research targets – and equivocality – caused by strong differences in identity and mission of contracting organizations.</w:t>
      </w:r>
    </w:p>
    <w:p w14:paraId="1740493A" w14:textId="77777777" w:rsidR="00227257" w:rsidRPr="00E058F8" w:rsidRDefault="00227257" w:rsidP="00227257">
      <w:pPr>
        <w:spacing w:line="360" w:lineRule="auto"/>
        <w:ind w:firstLine="708"/>
        <w:jc w:val="both"/>
        <w:rPr>
          <w:rFonts w:ascii="Arial" w:hAnsi="Arial" w:cs="Arial"/>
          <w:sz w:val="22"/>
          <w:szCs w:val="22"/>
          <w:lang w:val="en-GB"/>
        </w:rPr>
      </w:pPr>
      <w:proofErr w:type="spellStart"/>
      <w:r w:rsidRPr="00E058F8">
        <w:rPr>
          <w:rFonts w:ascii="Arial" w:hAnsi="Arial" w:cs="Arial"/>
          <w:sz w:val="22"/>
          <w:szCs w:val="22"/>
          <w:lang w:val="en-GB"/>
        </w:rPr>
        <w:t>Etzkowitz</w:t>
      </w:r>
      <w:proofErr w:type="spellEnd"/>
      <w:r w:rsidRPr="00E058F8">
        <w:rPr>
          <w:rFonts w:ascii="Arial" w:hAnsi="Arial" w:cs="Arial"/>
          <w:sz w:val="22"/>
          <w:szCs w:val="22"/>
          <w:lang w:val="en-GB"/>
        </w:rPr>
        <w:t xml:space="preserve"> and </w:t>
      </w:r>
      <w:proofErr w:type="spellStart"/>
      <w:r w:rsidRPr="00E058F8">
        <w:rPr>
          <w:rFonts w:ascii="Arial" w:hAnsi="Arial" w:cs="Arial"/>
          <w:sz w:val="22"/>
          <w:szCs w:val="22"/>
          <w:lang w:val="en-GB"/>
        </w:rPr>
        <w:t>Leydesdorff</w:t>
      </w:r>
      <w:proofErr w:type="spellEnd"/>
      <w:r w:rsidRPr="00E058F8">
        <w:rPr>
          <w:rFonts w:ascii="Arial" w:hAnsi="Arial" w:cs="Arial"/>
          <w:sz w:val="22"/>
          <w:szCs w:val="22"/>
          <w:lang w:val="en-GB"/>
        </w:rPr>
        <w:t xml:space="preserve"> (1995) studied how universities take part in R&amp;D alliances, and developed the model of the triple helix, which describes how government-industry-academy interactions take place within innovation economy. This model tells the potential to economic and innovative development within knowledge economy is based on a preeminent role for the university and on the hybridization of elements from three actors to the generation of new institutional and social shapes for knowledge production, transfer and use.</w:t>
      </w:r>
    </w:p>
    <w:p w14:paraId="1845FCBB" w14:textId="77777777" w:rsidR="00227257" w:rsidRPr="00E058F8" w:rsidRDefault="00227257" w:rsidP="00227257">
      <w:pPr>
        <w:spacing w:line="360" w:lineRule="auto"/>
        <w:jc w:val="both"/>
        <w:rPr>
          <w:rFonts w:ascii="Arial" w:hAnsi="Arial" w:cs="Arial"/>
          <w:sz w:val="22"/>
          <w:szCs w:val="22"/>
          <w:lang w:val="en-GB"/>
        </w:rPr>
      </w:pPr>
    </w:p>
    <w:p w14:paraId="4FFD506C"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2.3 Transaction Costs</w:t>
      </w:r>
    </w:p>
    <w:p w14:paraId="44032BCE"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 xml:space="preserve">Coase (1937), when studying the firm, introduced a new approach that can be used in R&amp;D alliances: transactions and their costs </w:t>
      </w:r>
      <w:proofErr w:type="gramStart"/>
      <w:r w:rsidRPr="00E058F8">
        <w:rPr>
          <w:rFonts w:ascii="Arial" w:hAnsi="Arial" w:cs="Arial"/>
          <w:sz w:val="22"/>
          <w:szCs w:val="22"/>
          <w:lang w:val="en-GB"/>
        </w:rPr>
        <w:t>are</w:t>
      </w:r>
      <w:proofErr w:type="gramEnd"/>
      <w:r w:rsidRPr="00E058F8">
        <w:rPr>
          <w:rFonts w:ascii="Arial" w:hAnsi="Arial" w:cs="Arial"/>
          <w:sz w:val="22"/>
          <w:szCs w:val="22"/>
          <w:lang w:val="en-GB"/>
        </w:rPr>
        <w:t xml:space="preserve"> the central subject of analysis, not technology. Williamson (1985) improved this notion by introducing some elements which refine the theory of transaction costs: human behaviour, as opportunism and bounded rationality, and attributes of transactions, as asset specificity, uncertainty and frequency of transactions.</w:t>
      </w:r>
    </w:p>
    <w:p w14:paraId="48B45F3E"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 xml:space="preserve">According to </w:t>
      </w:r>
      <w:proofErr w:type="spellStart"/>
      <w:r w:rsidRPr="00E058F8">
        <w:rPr>
          <w:rFonts w:ascii="Arial" w:hAnsi="Arial" w:cs="Arial"/>
          <w:sz w:val="22"/>
          <w:szCs w:val="22"/>
          <w:lang w:val="en-GB"/>
        </w:rPr>
        <w:t>Landes</w:t>
      </w:r>
      <w:proofErr w:type="spellEnd"/>
      <w:r w:rsidRPr="00E058F8">
        <w:rPr>
          <w:rFonts w:ascii="Arial" w:hAnsi="Arial" w:cs="Arial"/>
          <w:sz w:val="22"/>
          <w:szCs w:val="22"/>
          <w:lang w:val="en-GB"/>
        </w:rPr>
        <w:t xml:space="preserve"> and Posner (2003, p. 8), transaction costs tend to be higher in intangible assets, as intellectual property – central assets in R&amp;D alliances – leading to lower normalization.</w:t>
      </w:r>
    </w:p>
    <w:p w14:paraId="4AB6AC75" w14:textId="77777777" w:rsidR="00227257" w:rsidRPr="00E058F8" w:rsidRDefault="00227257" w:rsidP="00227257">
      <w:pPr>
        <w:spacing w:line="360" w:lineRule="auto"/>
        <w:ind w:firstLine="708"/>
        <w:jc w:val="both"/>
        <w:rPr>
          <w:rFonts w:ascii="Arial" w:hAnsi="Arial" w:cs="Arial"/>
          <w:sz w:val="22"/>
          <w:szCs w:val="22"/>
          <w:lang w:val="en-GB"/>
        </w:rPr>
      </w:pPr>
      <w:proofErr w:type="spellStart"/>
      <w:r w:rsidRPr="00E058F8">
        <w:rPr>
          <w:rFonts w:ascii="Arial" w:hAnsi="Arial" w:cs="Arial"/>
          <w:sz w:val="22"/>
          <w:szCs w:val="22"/>
          <w:lang w:val="en-GB"/>
        </w:rPr>
        <w:t>Caloghirou</w:t>
      </w:r>
      <w:proofErr w:type="spellEnd"/>
      <w:r w:rsidRPr="00E058F8">
        <w:rPr>
          <w:rFonts w:ascii="Arial" w:hAnsi="Arial" w:cs="Arial"/>
          <w:sz w:val="22"/>
          <w:szCs w:val="22"/>
          <w:lang w:val="en-GB"/>
        </w:rPr>
        <w:t xml:space="preserve"> </w:t>
      </w:r>
      <w:r w:rsidRPr="00E058F8">
        <w:rPr>
          <w:rFonts w:ascii="Arial" w:hAnsi="Arial" w:cs="Arial"/>
          <w:i/>
          <w:sz w:val="22"/>
          <w:szCs w:val="22"/>
          <w:lang w:val="en-GB"/>
        </w:rPr>
        <w:t>et al.</w:t>
      </w:r>
      <w:r w:rsidRPr="00E058F8">
        <w:rPr>
          <w:rFonts w:ascii="Arial" w:hAnsi="Arial" w:cs="Arial"/>
          <w:sz w:val="22"/>
          <w:szCs w:val="22"/>
          <w:lang w:val="en-GB"/>
        </w:rPr>
        <w:t xml:space="preserve"> (2003) see transaction costs and incomplete contracts as a theoretical perspective which approaches the firm with the tool of cost-benefit calculus. They argue that, in the area of R&amp;D, these costs may be very high due to </w:t>
      </w:r>
      <w:proofErr w:type="spellStart"/>
      <w:r w:rsidRPr="00E058F8">
        <w:rPr>
          <w:rFonts w:ascii="Arial" w:hAnsi="Arial" w:cs="Arial"/>
          <w:sz w:val="22"/>
          <w:szCs w:val="22"/>
          <w:lang w:val="en-GB"/>
        </w:rPr>
        <w:t>spillovers</w:t>
      </w:r>
      <w:proofErr w:type="spellEnd"/>
      <w:r w:rsidRPr="00E058F8">
        <w:rPr>
          <w:rFonts w:ascii="Arial" w:hAnsi="Arial" w:cs="Arial"/>
          <w:sz w:val="22"/>
          <w:szCs w:val="22"/>
          <w:lang w:val="en-GB"/>
        </w:rPr>
        <w:t xml:space="preserve"> (externalities), hence incomplete contracts and the possibility of opportunistic behaviour that they entail.</w:t>
      </w:r>
    </w:p>
    <w:p w14:paraId="5D02E3A9" w14:textId="77777777" w:rsidR="00227257" w:rsidRPr="00E058F8" w:rsidRDefault="00227257" w:rsidP="00227257">
      <w:pPr>
        <w:spacing w:line="360" w:lineRule="auto"/>
        <w:jc w:val="both"/>
        <w:rPr>
          <w:rFonts w:ascii="Arial" w:hAnsi="Arial" w:cs="Arial"/>
          <w:sz w:val="22"/>
          <w:szCs w:val="22"/>
          <w:lang w:val="en-GB"/>
        </w:rPr>
      </w:pPr>
    </w:p>
    <w:p w14:paraId="52E4BE75"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 xml:space="preserve">3 </w:t>
      </w:r>
      <w:proofErr w:type="gramStart"/>
      <w:r w:rsidRPr="00E058F8">
        <w:rPr>
          <w:rFonts w:ascii="Arial" w:hAnsi="Arial" w:cs="Arial"/>
          <w:b/>
          <w:sz w:val="22"/>
          <w:szCs w:val="22"/>
          <w:lang w:val="en-GB"/>
        </w:rPr>
        <w:t>Methodology</w:t>
      </w:r>
      <w:proofErr w:type="gramEnd"/>
    </w:p>
    <w:p w14:paraId="2C6B7635" w14:textId="77777777" w:rsidR="00227257" w:rsidRPr="00E058F8" w:rsidRDefault="00227257" w:rsidP="00227257">
      <w:pPr>
        <w:spacing w:line="360" w:lineRule="auto"/>
        <w:jc w:val="both"/>
        <w:rPr>
          <w:rFonts w:ascii="Arial" w:hAnsi="Arial" w:cs="Arial"/>
          <w:sz w:val="22"/>
          <w:szCs w:val="22"/>
          <w:lang w:val="en-GB"/>
        </w:rPr>
      </w:pPr>
    </w:p>
    <w:p w14:paraId="31A291B7"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3.1 International Technology Transfer Contracts</w:t>
      </w:r>
    </w:p>
    <w:p w14:paraId="44BCF7BE" w14:textId="7D99361E"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Knowledge transfer, or technology transfer, is formalized through international treaties or international contracts (FLORES, 2008, p. 19), which basic types are assignment or licensing. WIPO (</w:t>
      </w:r>
      <w:r w:rsidR="00B67091">
        <w:rPr>
          <w:rFonts w:ascii="Arial" w:hAnsi="Arial" w:cs="Arial"/>
          <w:sz w:val="22"/>
          <w:szCs w:val="22"/>
          <w:lang w:val="en-GB"/>
        </w:rPr>
        <w:t xml:space="preserve">WORLD…, </w:t>
      </w:r>
      <w:r w:rsidRPr="00E058F8">
        <w:rPr>
          <w:rFonts w:ascii="Arial" w:hAnsi="Arial" w:cs="Arial"/>
          <w:sz w:val="22"/>
          <w:szCs w:val="22"/>
          <w:lang w:val="en-GB"/>
        </w:rPr>
        <w:t xml:space="preserve">2015, p. 6) differentiates between technology licensing and technology transfer: the last one only takes place when the licensor delivers both technology (IP asset) and know-how, and licensee absorbs how to use, adapt and improve both </w:t>
      </w:r>
      <w:r w:rsidRPr="00E058F8">
        <w:rPr>
          <w:rFonts w:ascii="Arial" w:hAnsi="Arial" w:cs="Arial"/>
          <w:sz w:val="22"/>
          <w:szCs w:val="22"/>
          <w:lang w:val="en-GB"/>
        </w:rPr>
        <w:lastRenderedPageBreak/>
        <w:t xml:space="preserve">technology and know-how. This helps to explain why technology transfer agreements are more complex than other contracts: this gives rise to several issues, or </w:t>
      </w:r>
      <w:proofErr w:type="gramStart"/>
      <w:r w:rsidRPr="00E058F8">
        <w:rPr>
          <w:rFonts w:ascii="Arial" w:hAnsi="Arial" w:cs="Arial"/>
          <w:sz w:val="22"/>
          <w:szCs w:val="22"/>
          <w:lang w:val="en-GB"/>
        </w:rPr>
        <w:t>clauses, that</w:t>
      </w:r>
      <w:proofErr w:type="gramEnd"/>
      <w:r w:rsidRPr="00E058F8">
        <w:rPr>
          <w:rFonts w:ascii="Arial" w:hAnsi="Arial" w:cs="Arial"/>
          <w:sz w:val="22"/>
          <w:szCs w:val="22"/>
          <w:lang w:val="en-GB"/>
        </w:rPr>
        <w:t xml:space="preserve"> shall be negotiated for stablishing an alliance.</w:t>
      </w:r>
    </w:p>
    <w:p w14:paraId="2078FAD5" w14:textId="77777777" w:rsidR="00227257" w:rsidRPr="00E058F8" w:rsidRDefault="00227257" w:rsidP="00227257">
      <w:pPr>
        <w:spacing w:line="360" w:lineRule="auto"/>
        <w:jc w:val="both"/>
        <w:rPr>
          <w:rFonts w:ascii="Arial" w:hAnsi="Arial" w:cs="Arial"/>
          <w:sz w:val="22"/>
          <w:szCs w:val="22"/>
          <w:lang w:val="en-GB"/>
        </w:rPr>
      </w:pPr>
    </w:p>
    <w:p w14:paraId="5C3B89CE"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3.2 Theoretical Modelling</w:t>
      </w:r>
    </w:p>
    <w:p w14:paraId="7322882A"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 xml:space="preserve">Literature about technology transfer is rich and broad, including researches who deal with academic technology transfer, since this subject can be analysed by using different approaches. Bozeman </w:t>
      </w:r>
      <w:r w:rsidRPr="00E058F8">
        <w:rPr>
          <w:rFonts w:ascii="Arial" w:hAnsi="Arial" w:cs="Arial"/>
          <w:i/>
          <w:sz w:val="22"/>
          <w:szCs w:val="22"/>
          <w:lang w:val="en-GB"/>
        </w:rPr>
        <w:t>et al.</w:t>
      </w:r>
      <w:r w:rsidRPr="00E058F8">
        <w:rPr>
          <w:rFonts w:ascii="Arial" w:hAnsi="Arial" w:cs="Arial"/>
          <w:sz w:val="22"/>
          <w:szCs w:val="22"/>
          <w:lang w:val="en-GB"/>
        </w:rPr>
        <w:t xml:space="preserve"> (2015) have revised the contingent effectiveness model of technology transfer (CEMT2), which intends to organize the research streams. This model, nonetheless it doesn’t include international technology transfer, can be adopted as a guide for identifying the main subjects which take part, and consequently generate transaction costs, in industry-university cooperation.</w:t>
      </w:r>
    </w:p>
    <w:p w14:paraId="0ECE956B" w14:textId="53638EAE"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The dimensions, or technology transfer contingencies, of this model include these non</w:t>
      </w:r>
      <w:r w:rsidR="008E0405" w:rsidRPr="00E058F8">
        <w:rPr>
          <w:rFonts w:ascii="Arial" w:hAnsi="Arial" w:cs="Arial"/>
          <w:sz w:val="22"/>
          <w:szCs w:val="22"/>
          <w:lang w:val="en-GB"/>
        </w:rPr>
        <w:t>-</w:t>
      </w:r>
      <w:r w:rsidRPr="00E058F8">
        <w:rPr>
          <w:rFonts w:ascii="Arial" w:hAnsi="Arial" w:cs="Arial"/>
          <w:sz w:val="22"/>
          <w:szCs w:val="22"/>
          <w:lang w:val="en-GB"/>
        </w:rPr>
        <w:t xml:space="preserve">exhaustive dimensions: </w:t>
      </w:r>
      <w:proofErr w:type="spellStart"/>
      <w:r w:rsidRPr="00E058F8">
        <w:rPr>
          <w:rFonts w:ascii="Arial" w:hAnsi="Arial" w:cs="Arial"/>
          <w:sz w:val="22"/>
          <w:szCs w:val="22"/>
          <w:lang w:val="en-GB"/>
        </w:rPr>
        <w:t>i</w:t>
      </w:r>
      <w:proofErr w:type="spellEnd"/>
      <w:r w:rsidRPr="00E058F8">
        <w:rPr>
          <w:rFonts w:ascii="Arial" w:hAnsi="Arial" w:cs="Arial"/>
          <w:sz w:val="22"/>
          <w:szCs w:val="22"/>
          <w:lang w:val="en-GB"/>
        </w:rPr>
        <w:t xml:space="preserve">) characteristics of the transfer agent; ii) characteristics of the transfer media; iii) characteristics of the transfer object; </w:t>
      </w:r>
      <w:proofErr w:type="gramStart"/>
      <w:r w:rsidRPr="00E058F8">
        <w:rPr>
          <w:rFonts w:ascii="Arial" w:hAnsi="Arial" w:cs="Arial"/>
          <w:sz w:val="22"/>
          <w:szCs w:val="22"/>
          <w:lang w:val="en-GB"/>
        </w:rPr>
        <w:t>iv) demand</w:t>
      </w:r>
      <w:proofErr w:type="gramEnd"/>
      <w:r w:rsidRPr="00E058F8">
        <w:rPr>
          <w:rFonts w:ascii="Arial" w:hAnsi="Arial" w:cs="Arial"/>
          <w:sz w:val="22"/>
          <w:szCs w:val="22"/>
          <w:lang w:val="en-GB"/>
        </w:rPr>
        <w:t xml:space="preserve"> environment; and v) characteristics of the transfer recipient. Effectiveness of these </w:t>
      </w:r>
      <w:proofErr w:type="spellStart"/>
      <w:r w:rsidRPr="00E058F8">
        <w:rPr>
          <w:rFonts w:ascii="Arial" w:hAnsi="Arial" w:cs="Arial"/>
          <w:sz w:val="22"/>
          <w:szCs w:val="22"/>
          <w:lang w:val="en-GB"/>
        </w:rPr>
        <w:t>contingential</w:t>
      </w:r>
      <w:proofErr w:type="spellEnd"/>
      <w:r w:rsidRPr="00E058F8">
        <w:rPr>
          <w:rFonts w:ascii="Arial" w:hAnsi="Arial" w:cs="Arial"/>
          <w:sz w:val="22"/>
          <w:szCs w:val="22"/>
          <w:lang w:val="en-GB"/>
        </w:rPr>
        <w:t xml:space="preserve"> dimensions is studied by different approaches: </w:t>
      </w:r>
      <w:proofErr w:type="spellStart"/>
      <w:r w:rsidRPr="00E058F8">
        <w:rPr>
          <w:rFonts w:ascii="Arial" w:hAnsi="Arial" w:cs="Arial"/>
          <w:sz w:val="22"/>
          <w:szCs w:val="22"/>
          <w:lang w:val="en-GB"/>
        </w:rPr>
        <w:t>i</w:t>
      </w:r>
      <w:proofErr w:type="spellEnd"/>
      <w:r w:rsidRPr="00E058F8">
        <w:rPr>
          <w:rFonts w:ascii="Arial" w:hAnsi="Arial" w:cs="Arial"/>
          <w:sz w:val="22"/>
          <w:szCs w:val="22"/>
          <w:lang w:val="en-GB"/>
        </w:rPr>
        <w:t>) out-the-door (was anything transferred?); ii) market impact; iii) economic development, iv) political advantage; v) development of scientific and technical human capital; vi) opportunity cost considerations and vii) public value.</w:t>
      </w:r>
    </w:p>
    <w:p w14:paraId="2646DB67" w14:textId="77777777" w:rsidR="00227257" w:rsidRPr="00E058F8" w:rsidRDefault="00227257" w:rsidP="00227257">
      <w:pPr>
        <w:spacing w:line="360" w:lineRule="auto"/>
        <w:jc w:val="both"/>
        <w:rPr>
          <w:rFonts w:ascii="Arial" w:hAnsi="Arial" w:cs="Arial"/>
          <w:sz w:val="22"/>
          <w:szCs w:val="22"/>
          <w:lang w:val="en-GB"/>
        </w:rPr>
      </w:pPr>
    </w:p>
    <w:p w14:paraId="075BB45F" w14:textId="2A6DA32D" w:rsidR="00227257" w:rsidRPr="00E058F8" w:rsidRDefault="00917B1B" w:rsidP="00227257">
      <w:pPr>
        <w:spacing w:line="360" w:lineRule="auto"/>
        <w:jc w:val="both"/>
        <w:rPr>
          <w:rFonts w:ascii="Arial" w:hAnsi="Arial" w:cs="Arial"/>
          <w:b/>
          <w:sz w:val="22"/>
          <w:szCs w:val="22"/>
          <w:lang w:val="en-GB"/>
        </w:rPr>
      </w:pPr>
      <w:r w:rsidRPr="00E058F8">
        <w:rPr>
          <w:rFonts w:ascii="Arial" w:hAnsi="Arial" w:cs="Arial"/>
          <w:b/>
          <w:sz w:val="22"/>
          <w:szCs w:val="22"/>
          <w:lang w:val="en-GB"/>
        </w:rPr>
        <w:t>3.3 Research M</w:t>
      </w:r>
      <w:r w:rsidR="00227257" w:rsidRPr="00E058F8">
        <w:rPr>
          <w:rFonts w:ascii="Arial" w:hAnsi="Arial" w:cs="Arial"/>
          <w:b/>
          <w:sz w:val="22"/>
          <w:szCs w:val="22"/>
          <w:lang w:val="en-GB"/>
        </w:rPr>
        <w:t>odelling</w:t>
      </w:r>
    </w:p>
    <w:p w14:paraId="48691B4A" w14:textId="29E51AC7" w:rsidR="00B67091"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Considering the Bozeman’s CEMT2 model and the elements in transaction costs theory</w:t>
      </w:r>
      <w:r w:rsidR="00B67091">
        <w:rPr>
          <w:rFonts w:ascii="Arial" w:hAnsi="Arial" w:cs="Arial"/>
          <w:sz w:val="22"/>
          <w:szCs w:val="22"/>
          <w:lang w:val="en-GB"/>
        </w:rPr>
        <w:t xml:space="preserve"> </w:t>
      </w:r>
      <w:r w:rsidRPr="00E058F8">
        <w:rPr>
          <w:rFonts w:ascii="Arial" w:hAnsi="Arial" w:cs="Arial"/>
          <w:sz w:val="22"/>
          <w:szCs w:val="22"/>
          <w:lang w:val="en-GB"/>
        </w:rPr>
        <w:t xml:space="preserve">(TCT) </w:t>
      </w:r>
      <w:r w:rsidR="00B67091">
        <w:rPr>
          <w:rFonts w:ascii="Arial" w:hAnsi="Arial" w:cs="Arial"/>
          <w:sz w:val="22"/>
          <w:szCs w:val="22"/>
          <w:lang w:val="en-GB"/>
        </w:rPr>
        <w:t xml:space="preserve"> </w:t>
      </w:r>
      <w:r w:rsidRPr="00E058F8">
        <w:rPr>
          <w:rFonts w:ascii="Arial" w:hAnsi="Arial" w:cs="Arial"/>
          <w:sz w:val="22"/>
          <w:szCs w:val="22"/>
          <w:lang w:val="en-GB"/>
        </w:rPr>
        <w:t xml:space="preserve">developed by </w:t>
      </w:r>
      <w:r w:rsidR="00B67091">
        <w:rPr>
          <w:rFonts w:ascii="Arial" w:hAnsi="Arial" w:cs="Arial"/>
          <w:sz w:val="22"/>
          <w:szCs w:val="22"/>
          <w:lang w:val="en-GB"/>
        </w:rPr>
        <w:t xml:space="preserve"> </w:t>
      </w:r>
      <w:r w:rsidRPr="00E058F8">
        <w:rPr>
          <w:rFonts w:ascii="Arial" w:hAnsi="Arial" w:cs="Arial"/>
          <w:sz w:val="22"/>
          <w:szCs w:val="22"/>
          <w:lang w:val="en-GB"/>
        </w:rPr>
        <w:t xml:space="preserve">Williamson, </w:t>
      </w:r>
      <w:r w:rsidR="00B67091">
        <w:rPr>
          <w:rFonts w:ascii="Arial" w:hAnsi="Arial" w:cs="Arial"/>
          <w:sz w:val="22"/>
          <w:szCs w:val="22"/>
          <w:lang w:val="en-GB"/>
        </w:rPr>
        <w:t xml:space="preserve"> </w:t>
      </w:r>
      <w:r w:rsidRPr="00E058F8">
        <w:rPr>
          <w:rFonts w:ascii="Arial" w:hAnsi="Arial" w:cs="Arial"/>
          <w:sz w:val="22"/>
          <w:szCs w:val="22"/>
          <w:lang w:val="en-GB"/>
        </w:rPr>
        <w:t xml:space="preserve">one </w:t>
      </w:r>
      <w:r w:rsidR="00B67091">
        <w:rPr>
          <w:rFonts w:ascii="Arial" w:hAnsi="Arial" w:cs="Arial"/>
          <w:sz w:val="22"/>
          <w:szCs w:val="22"/>
          <w:lang w:val="en-GB"/>
        </w:rPr>
        <w:t xml:space="preserve"> </w:t>
      </w:r>
      <w:r w:rsidRPr="00E058F8">
        <w:rPr>
          <w:rFonts w:ascii="Arial" w:hAnsi="Arial" w:cs="Arial"/>
          <w:sz w:val="22"/>
          <w:szCs w:val="22"/>
          <w:lang w:val="en-GB"/>
        </w:rPr>
        <w:t xml:space="preserve">can </w:t>
      </w:r>
      <w:r w:rsidR="00B67091">
        <w:rPr>
          <w:rFonts w:ascii="Arial" w:hAnsi="Arial" w:cs="Arial"/>
          <w:sz w:val="22"/>
          <w:szCs w:val="22"/>
          <w:lang w:val="en-GB"/>
        </w:rPr>
        <w:t xml:space="preserve"> </w:t>
      </w:r>
      <w:r w:rsidRPr="00E058F8">
        <w:rPr>
          <w:rFonts w:ascii="Arial" w:hAnsi="Arial" w:cs="Arial"/>
          <w:sz w:val="22"/>
          <w:szCs w:val="22"/>
          <w:lang w:val="en-GB"/>
        </w:rPr>
        <w:t xml:space="preserve">evaluate </w:t>
      </w:r>
      <w:r w:rsidR="00B67091">
        <w:rPr>
          <w:rFonts w:ascii="Arial" w:hAnsi="Arial" w:cs="Arial"/>
          <w:sz w:val="22"/>
          <w:szCs w:val="22"/>
          <w:lang w:val="en-GB"/>
        </w:rPr>
        <w:t xml:space="preserve"> </w:t>
      </w:r>
      <w:r w:rsidRPr="00E058F8">
        <w:rPr>
          <w:rFonts w:ascii="Arial" w:hAnsi="Arial" w:cs="Arial"/>
          <w:sz w:val="22"/>
          <w:szCs w:val="22"/>
          <w:lang w:val="en-GB"/>
        </w:rPr>
        <w:t>the</w:t>
      </w:r>
      <w:r w:rsidR="00B67091">
        <w:rPr>
          <w:rFonts w:ascii="Arial" w:hAnsi="Arial" w:cs="Arial"/>
          <w:sz w:val="22"/>
          <w:szCs w:val="22"/>
          <w:lang w:val="en-GB"/>
        </w:rPr>
        <w:t xml:space="preserve"> </w:t>
      </w:r>
      <w:r w:rsidRPr="00E058F8">
        <w:rPr>
          <w:rFonts w:ascii="Arial" w:hAnsi="Arial" w:cs="Arial"/>
          <w:sz w:val="22"/>
          <w:szCs w:val="22"/>
          <w:lang w:val="en-GB"/>
        </w:rPr>
        <w:t xml:space="preserve"> difficulties</w:t>
      </w:r>
      <w:r w:rsidR="00B67091">
        <w:rPr>
          <w:rFonts w:ascii="Arial" w:hAnsi="Arial" w:cs="Arial"/>
          <w:sz w:val="22"/>
          <w:szCs w:val="22"/>
          <w:lang w:val="en-GB"/>
        </w:rPr>
        <w:t xml:space="preserve"> </w:t>
      </w:r>
      <w:r w:rsidRPr="00E058F8">
        <w:rPr>
          <w:rFonts w:ascii="Arial" w:hAnsi="Arial" w:cs="Arial"/>
          <w:sz w:val="22"/>
          <w:szCs w:val="22"/>
          <w:lang w:val="en-GB"/>
        </w:rPr>
        <w:t xml:space="preserve"> to</w:t>
      </w:r>
      <w:r w:rsidR="00B67091">
        <w:rPr>
          <w:rFonts w:ascii="Arial" w:hAnsi="Arial" w:cs="Arial"/>
          <w:sz w:val="22"/>
          <w:szCs w:val="22"/>
          <w:lang w:val="en-GB"/>
        </w:rPr>
        <w:t xml:space="preserve">  stablish  ISA</w:t>
      </w:r>
    </w:p>
    <w:p w14:paraId="3917F111" w14:textId="77777777" w:rsidR="00227257" w:rsidRPr="00E058F8" w:rsidRDefault="00227257" w:rsidP="00227257">
      <w:pPr>
        <w:jc w:val="center"/>
        <w:rPr>
          <w:rFonts w:ascii="Arial" w:hAnsi="Arial" w:cs="Arial"/>
          <w:sz w:val="22"/>
          <w:szCs w:val="22"/>
          <w:lang w:val="en-GB"/>
        </w:rPr>
      </w:pPr>
      <w:r w:rsidRPr="00E058F8">
        <w:rPr>
          <w:rFonts w:ascii="Arial" w:hAnsi="Arial" w:cs="Arial"/>
          <w:noProof/>
          <w:sz w:val="22"/>
          <w:szCs w:val="22"/>
        </w:rPr>
        <mc:AlternateContent>
          <mc:Choice Requires="wps">
            <w:drawing>
              <wp:anchor distT="0" distB="0" distL="114300" distR="114300" simplePos="0" relativeHeight="251659264" behindDoc="0" locked="0" layoutInCell="1" allowOverlap="1" wp14:anchorId="213C97F3" wp14:editId="54DF54F5">
                <wp:simplePos x="0" y="0"/>
                <wp:positionH relativeFrom="column">
                  <wp:posOffset>2028825</wp:posOffset>
                </wp:positionH>
                <wp:positionV relativeFrom="paragraph">
                  <wp:posOffset>1957218</wp:posOffset>
                </wp:positionV>
                <wp:extent cx="0" cy="288000"/>
                <wp:effectExtent l="76200" t="38100" r="57150" b="17145"/>
                <wp:wrapNone/>
                <wp:docPr id="4" name="Conector de seta reta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12700">
                          <a:solidFill>
                            <a:schemeClr val="tx1">
                              <a:lumMod val="100000"/>
                              <a:lumOff val="0"/>
                            </a:schemeClr>
                          </a:solidFill>
                          <a:prstDash val="sysDot"/>
                          <a:round/>
                          <a:headEnd type="triangle"/>
                          <a:tailEnd type="non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59" o:spid="_x0000_s1026" type="#_x0000_t32" style="position:absolute;margin-left:159.75pt;margin-top:154.1pt;width:0;height:2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" strokecolor="black [3213]" strokeweight="1pt">
                <v:stroke dashstyle="1 1" startarrow="block"/>
              </v:shape>
            </w:pict>
          </mc:Fallback>
        </mc:AlternateContent>
      </w:r>
      <w:r w:rsidRPr="00E058F8">
        <w:rPr>
          <w:rFonts w:ascii="Arial" w:hAnsi="Arial" w:cs="Arial"/>
          <w:noProof/>
          <w:sz w:val="22"/>
          <w:szCs w:val="22"/>
        </w:rPr>
        <mc:AlternateContent>
          <mc:Choice Requires="wpg">
            <w:drawing>
              <wp:inline distT="0" distB="0" distL="0" distR="0" wp14:anchorId="45CF7998" wp14:editId="4DCAA98F">
                <wp:extent cx="4194950" cy="2861831"/>
                <wp:effectExtent l="0" t="0" r="15240" b="15240"/>
                <wp:docPr id="317"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4950" cy="2861831"/>
                          <a:chOff x="0" y="2286"/>
                          <a:chExt cx="41949" cy="26313"/>
                        </a:xfrm>
                      </wpg:grpSpPr>
                      <wps:wsp>
                        <wps:cNvPr id="333" name="Fluxograma: Processo 54"/>
                        <wps:cNvSpPr>
                          <a:spLocks noChangeArrowheads="1"/>
                        </wps:cNvSpPr>
                        <wps:spPr bwMode="auto">
                          <a:xfrm>
                            <a:off x="3714" y="2286"/>
                            <a:ext cx="17280" cy="9268"/>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EC8A10E"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AGENT</w:t>
                              </w:r>
                            </w:p>
                            <w:p w14:paraId="11D74A2A"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bonded rationality</w:t>
                              </w:r>
                            </w:p>
                            <w:p w14:paraId="0B44E9F4" w14:textId="0F7F1BD0"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 xml:space="preserve">Information </w:t>
                              </w:r>
                              <w:r w:rsidR="00402002" w:rsidRPr="0097120C">
                                <w:rPr>
                                  <w:rFonts w:ascii="Arial" w:hAnsi="Arial" w:cs="Arial"/>
                                  <w:sz w:val="18"/>
                                  <w:szCs w:val="18"/>
                                  <w:lang w:val="en-US"/>
                                </w:rPr>
                                <w:t>asymmetry</w:t>
                              </w:r>
                              <w:r w:rsidRPr="0097120C">
                                <w:rPr>
                                  <w:rFonts w:ascii="Arial" w:hAnsi="Arial" w:cs="Arial"/>
                                  <w:sz w:val="18"/>
                                  <w:szCs w:val="18"/>
                                  <w:lang w:val="en-US"/>
                                </w:rPr>
                                <w:t xml:space="preserve"> (</w:t>
                              </w:r>
                              <w:r w:rsidRPr="0097120C">
                                <w:rPr>
                                  <w:rFonts w:ascii="Arial" w:hAnsi="Arial" w:cs="Arial"/>
                                  <w:color w:val="222222"/>
                                  <w:sz w:val="18"/>
                                  <w:szCs w:val="18"/>
                                  <w:shd w:val="clear" w:color="auto" w:fill="FFFFFF"/>
                                  <w:lang w:val="en-US"/>
                                </w:rPr>
                                <w:t>opportunistic behavior</w:t>
                              </w:r>
                              <w:r w:rsidRPr="0097120C">
                                <w:rPr>
                                  <w:rFonts w:ascii="Arial" w:hAnsi="Arial" w:cs="Arial"/>
                                  <w:sz w:val="18"/>
                                  <w:szCs w:val="18"/>
                                  <w:lang w:val="en-US"/>
                                </w:rPr>
                                <w:t>)</w:t>
                              </w:r>
                            </w:p>
                            <w:p w14:paraId="6DCFEE0F"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transaction frequency</w:t>
                              </w:r>
                            </w:p>
                            <w:p w14:paraId="5CECAD09"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Technology Transfer Offices – TTOs</w:t>
                              </w:r>
                            </w:p>
                          </w:txbxContent>
                        </wps:txbx>
                        <wps:bodyPr rot="0" vert="horz" wrap="square" lIns="91440" tIns="45720" rIns="91440" bIns="45720" anchor="ctr" anchorCtr="0" upright="1">
                          <a:noAutofit/>
                        </wps:bodyPr>
                      </wps:wsp>
                      <wps:wsp>
                        <wps:cNvPr id="334" name="Fluxograma: Processo 55"/>
                        <wps:cNvSpPr>
                          <a:spLocks noChangeArrowheads="1"/>
                        </wps:cNvSpPr>
                        <wps:spPr bwMode="auto">
                          <a:xfrm>
                            <a:off x="24479" y="2286"/>
                            <a:ext cx="17280" cy="9268"/>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C2E691"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DEMAND ENVIRONMENT</w:t>
                              </w:r>
                            </w:p>
                            <w:p w14:paraId="2614388C" w14:textId="2D1B020E" w:rsidR="00227257" w:rsidRPr="0097120C" w:rsidRDefault="00402002"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uncertainty</w:t>
                              </w:r>
                              <w:r w:rsidR="00227257" w:rsidRPr="0097120C">
                                <w:rPr>
                                  <w:rFonts w:ascii="Arial" w:hAnsi="Arial" w:cs="Arial"/>
                                  <w:sz w:val="18"/>
                                  <w:szCs w:val="18"/>
                                  <w:lang w:val="en-US"/>
                                </w:rPr>
                                <w:t xml:space="preserve"> (primary)</w:t>
                              </w:r>
                            </w:p>
                            <w:p w14:paraId="70CA0D9A"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regulatory environment</w:t>
                              </w:r>
                            </w:p>
                          </w:txbxContent>
                        </wps:txbx>
                        <wps:bodyPr rot="0" vert="horz" wrap="square" lIns="91440" tIns="45720" rIns="91440" bIns="45720" anchor="ctr" anchorCtr="0" upright="1">
                          <a:noAutofit/>
                        </wps:bodyPr>
                      </wps:wsp>
                      <wps:wsp>
                        <wps:cNvPr id="335" name="Fluxograma: Processo 56"/>
                        <wps:cNvSpPr>
                          <a:spLocks noChangeArrowheads="1"/>
                        </wps:cNvSpPr>
                        <wps:spPr bwMode="auto">
                          <a:xfrm>
                            <a:off x="3795" y="14324"/>
                            <a:ext cx="17280" cy="5958"/>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F923DE"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MEDIA</w:t>
                              </w:r>
                            </w:p>
                            <w:p w14:paraId="5FE1CED1"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specificity</w:t>
                              </w:r>
                            </w:p>
                            <w:p w14:paraId="74C81997"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Intellectual Property Rights – IPRs</w:t>
                              </w:r>
                            </w:p>
                          </w:txbxContent>
                        </wps:txbx>
                        <wps:bodyPr rot="0" vert="horz" wrap="square" lIns="91440" tIns="45720" rIns="91440" bIns="45720" anchor="ctr" anchorCtr="0" upright="1">
                          <a:noAutofit/>
                        </wps:bodyPr>
                      </wps:wsp>
                      <wps:wsp>
                        <wps:cNvPr id="336" name="Fluxograma: Processo 57"/>
                        <wps:cNvSpPr>
                          <a:spLocks noChangeArrowheads="1"/>
                        </wps:cNvSpPr>
                        <wps:spPr bwMode="auto">
                          <a:xfrm>
                            <a:off x="24669" y="14324"/>
                            <a:ext cx="17280" cy="5958"/>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DF2CFF"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RECIPIENT</w:t>
                              </w:r>
                            </w:p>
                            <w:p w14:paraId="1CCE04E9"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bonded rationality</w:t>
                              </w:r>
                            </w:p>
                            <w:p w14:paraId="269F230E" w14:textId="7EFC9FFE"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 xml:space="preserve">information </w:t>
                              </w:r>
                              <w:r w:rsidR="00402002" w:rsidRPr="0097120C">
                                <w:rPr>
                                  <w:rFonts w:ascii="Arial" w:hAnsi="Arial" w:cs="Arial"/>
                                  <w:sz w:val="18"/>
                                  <w:szCs w:val="18"/>
                                  <w:lang w:val="en-US"/>
                                </w:rPr>
                                <w:t>asymmetry</w:t>
                              </w:r>
                              <w:r w:rsidRPr="0097120C">
                                <w:rPr>
                                  <w:rFonts w:ascii="Arial" w:hAnsi="Arial" w:cs="Arial"/>
                                  <w:sz w:val="18"/>
                                  <w:szCs w:val="18"/>
                                  <w:lang w:val="en-US"/>
                                </w:rPr>
                                <w:t xml:space="preserve"> (</w:t>
                              </w:r>
                              <w:r w:rsidRPr="0097120C">
                                <w:rPr>
                                  <w:rFonts w:ascii="Arial" w:hAnsi="Arial" w:cs="Arial"/>
                                  <w:color w:val="222222"/>
                                  <w:sz w:val="18"/>
                                  <w:szCs w:val="18"/>
                                  <w:shd w:val="clear" w:color="auto" w:fill="FFFFFF"/>
                                  <w:lang w:val="en-US"/>
                                </w:rPr>
                                <w:t>opportunistic behavior</w:t>
                              </w:r>
                              <w:r w:rsidRPr="0097120C">
                                <w:rPr>
                                  <w:rFonts w:ascii="Arial" w:hAnsi="Arial" w:cs="Arial"/>
                                  <w:sz w:val="18"/>
                                  <w:szCs w:val="18"/>
                                  <w:lang w:val="en-US"/>
                                </w:rPr>
                                <w:t>)</w:t>
                              </w:r>
                            </w:p>
                          </w:txbxContent>
                        </wps:txbx>
                        <wps:bodyPr rot="0" vert="horz" wrap="square" lIns="91440" tIns="45720" rIns="91440" bIns="45720" anchor="ctr" anchorCtr="0" upright="1">
                          <a:noAutofit/>
                        </wps:bodyPr>
                      </wps:wsp>
                      <wps:wsp>
                        <wps:cNvPr id="337" name="Fluxograma: Processo 58"/>
                        <wps:cNvSpPr>
                          <a:spLocks noChangeArrowheads="1"/>
                        </wps:cNvSpPr>
                        <wps:spPr bwMode="auto">
                          <a:xfrm>
                            <a:off x="3795" y="22972"/>
                            <a:ext cx="17280" cy="5627"/>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652582"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OBJECT</w:t>
                              </w:r>
                            </w:p>
                            <w:p w14:paraId="2A5C9C08"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specificity</w:t>
                              </w:r>
                            </w:p>
                            <w:p w14:paraId="3DDAB466"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technology</w:t>
                              </w:r>
                            </w:p>
                            <w:p w14:paraId="0A479090"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knowledge</w:t>
                              </w:r>
                            </w:p>
                          </w:txbxContent>
                        </wps:txbx>
                        <wps:bodyPr rot="0" vert="horz" wrap="square" lIns="91440" tIns="45720" rIns="91440" bIns="45720" anchor="ctr" anchorCtr="0" upright="1">
                          <a:noAutofit/>
                        </wps:bodyPr>
                      </wps:wsp>
                      <wps:wsp>
                        <wps:cNvPr id="338" name="Conector de seta reta 59"/>
                        <wps:cNvCnPr>
                          <a:cxnSpLocks noChangeShapeType="1"/>
                        </wps:cNvCnPr>
                        <wps:spPr bwMode="auto">
                          <a:xfrm>
                            <a:off x="12287" y="11661"/>
                            <a:ext cx="0" cy="2648"/>
                          </a:xfrm>
                          <a:prstGeom prst="straightConnector1">
                            <a:avLst/>
                          </a:prstGeom>
                          <a:noFill/>
                          <a:ln w="12700">
                            <a:solidFill>
                              <a:schemeClr val="tx1">
                                <a:lumMod val="10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9" name="Conector de seta reta 60"/>
                        <wps:cNvCnPr>
                          <a:cxnSpLocks noChangeShapeType="1"/>
                        </wps:cNvCnPr>
                        <wps:spPr bwMode="auto">
                          <a:xfrm>
                            <a:off x="30289" y="11661"/>
                            <a:ext cx="0" cy="2648"/>
                          </a:xfrm>
                          <a:prstGeom prst="straightConnector1">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340" name="Conector de seta reta 61"/>
                        <wps:cNvCnPr>
                          <a:cxnSpLocks noChangeShapeType="1"/>
                        </wps:cNvCnPr>
                        <wps:spPr bwMode="auto">
                          <a:xfrm>
                            <a:off x="36385" y="11661"/>
                            <a:ext cx="0" cy="2648"/>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41" name="Conector de seta reta 62"/>
                        <wps:cNvCnPr>
                          <a:cxnSpLocks noChangeShapeType="1"/>
                        </wps:cNvCnPr>
                        <wps:spPr bwMode="auto">
                          <a:xfrm>
                            <a:off x="21075" y="18564"/>
                            <a:ext cx="3594"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42" name="Conector de seta reta 63"/>
                        <wps:cNvCnPr>
                          <a:cxnSpLocks noChangeShapeType="1"/>
                        </wps:cNvCnPr>
                        <wps:spPr bwMode="auto">
                          <a:xfrm>
                            <a:off x="20994" y="16186"/>
                            <a:ext cx="3594" cy="0"/>
                          </a:xfrm>
                          <a:prstGeom prst="straightConnector1">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343" name="AutoShape 64"/>
                        <wps:cNvCnPr>
                          <a:cxnSpLocks noChangeShapeType="1"/>
                        </wps:cNvCnPr>
                        <wps:spPr bwMode="auto">
                          <a:xfrm>
                            <a:off x="20859" y="7715"/>
                            <a:ext cx="3594" cy="0"/>
                          </a:xfrm>
                          <a:prstGeom prst="straightConnector1">
                            <a:avLst/>
                          </a:prstGeom>
                          <a:noFill/>
                          <a:ln w="12700">
                            <a:solidFill>
                              <a:schemeClr val="tx1">
                                <a:lumMod val="100000"/>
                                <a:lumOff val="0"/>
                              </a:schemeClr>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344" name="Conector de seta reta 289"/>
                        <wps:cNvCnPr>
                          <a:cxnSpLocks noChangeShapeType="1"/>
                        </wps:cNvCnPr>
                        <wps:spPr bwMode="auto">
                          <a:xfrm>
                            <a:off x="0" y="25983"/>
                            <a:ext cx="3795"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45" name="Conector de seta reta 290"/>
                        <wps:cNvCnPr>
                          <a:cxnSpLocks noChangeShapeType="1"/>
                        </wps:cNvCnPr>
                        <wps:spPr bwMode="auto">
                          <a:xfrm>
                            <a:off x="0" y="7810"/>
                            <a:ext cx="3594"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46" name="Line 67"/>
                        <wps:cNvCnPr/>
                        <wps:spPr bwMode="auto">
                          <a:xfrm>
                            <a:off x="0" y="7808"/>
                            <a:ext cx="0" cy="18205"/>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47" name="Conector de seta reta 292"/>
                        <wps:cNvCnPr>
                          <a:cxnSpLocks noChangeShapeType="1"/>
                        </wps:cNvCnPr>
                        <wps:spPr bwMode="auto">
                          <a:xfrm>
                            <a:off x="33362" y="20280"/>
                            <a:ext cx="0" cy="5585"/>
                          </a:xfrm>
                          <a:prstGeom prst="straightConnector1">
                            <a:avLst/>
                          </a:prstGeom>
                          <a:noFill/>
                          <a:ln w="12700">
                            <a:solidFill>
                              <a:schemeClr val="tx1">
                                <a:lumMod val="100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348" name="Conector de seta reta 293"/>
                        <wps:cNvCnPr>
                          <a:cxnSpLocks noChangeShapeType="1"/>
                        </wps:cNvCnPr>
                        <wps:spPr bwMode="auto">
                          <a:xfrm>
                            <a:off x="21075" y="25869"/>
                            <a:ext cx="12288"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3" o:spid="_x0000_s1026" style="width:330.3pt;height:225.35pt;mso-position-horizontal-relative:char;mso-position-vertical-relative:line" coordorigin=",2286" coordsize="41949,2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">
                <v:shapetype id="_x0000_t109" coordsize="21600,21600" o:spt="109" path="m,l,21600r21600,l21600,xe">
                  <v:stroke joinstyle="miter"/>
                  <v:path gradientshapeok="t" o:connecttype="rect"/>
                </v:shapetype>
                <v:shape id="Fluxograma: Processo 54" o:spid="_x0000_s1027" type="#_x0000_t109" style="position:absolute;left:3714;top:2286;width:17280;height:9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zJ8QA&#10;AADcAAAADwAAAGRycy9kb3ducmV2LnhtbESPQWsCMRSE74L/ITyhN010qS1b4yKLBQ+9VHvQ22Pz&#10;urt087JuosZ/3xQKHoeZ+YZZFdF24kqDbx1rmM8UCOLKmZZrDV+H9+krCB+QDXaOScOdPBTr8WiF&#10;uXE3/qTrPtQiQdjnqKEJoc+l9FVDFv3M9cTJ+3aDxZDkUEsz4C3BbScXSi2lxZbTQoM9lQ1VP/uL&#10;1SDVZfusyg/zcty60646R7rLqPXTJG7eQASK4RH+b++MhizL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X8yfEAAAA3AAAAA8AAAAAAAAAAAAAAAAAmAIAAGRycy9k&#10;b3ducmV2LnhtbFBLBQYAAAAABAAEAPUAAACJAwAAAAA=&#10;" filled="f" strokecolor="black [3213]" strokeweight="1pt">
                  <v:textbox>
                    <w:txbxContent>
                      <w:p w14:paraId="1EC8A10E"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AGENT</w:t>
                        </w:r>
                      </w:p>
                      <w:p w14:paraId="11D74A2A"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bonded rationality</w:t>
                        </w:r>
                      </w:p>
                      <w:p w14:paraId="0B44E9F4" w14:textId="0F7F1BD0"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 xml:space="preserve">Information </w:t>
                        </w:r>
                        <w:r w:rsidR="00402002" w:rsidRPr="0097120C">
                          <w:rPr>
                            <w:rFonts w:ascii="Arial" w:hAnsi="Arial" w:cs="Arial"/>
                            <w:sz w:val="18"/>
                            <w:szCs w:val="18"/>
                            <w:lang w:val="en-US"/>
                          </w:rPr>
                          <w:t>asymmetry</w:t>
                        </w:r>
                        <w:r w:rsidRPr="0097120C">
                          <w:rPr>
                            <w:rFonts w:ascii="Arial" w:hAnsi="Arial" w:cs="Arial"/>
                            <w:sz w:val="18"/>
                            <w:szCs w:val="18"/>
                            <w:lang w:val="en-US"/>
                          </w:rPr>
                          <w:t xml:space="preserve"> (</w:t>
                        </w:r>
                        <w:r w:rsidRPr="0097120C">
                          <w:rPr>
                            <w:rFonts w:ascii="Arial" w:hAnsi="Arial" w:cs="Arial"/>
                            <w:color w:val="222222"/>
                            <w:sz w:val="18"/>
                            <w:szCs w:val="18"/>
                            <w:shd w:val="clear" w:color="auto" w:fill="FFFFFF"/>
                            <w:lang w:val="en-US"/>
                          </w:rPr>
                          <w:t>opportunistic behavior</w:t>
                        </w:r>
                        <w:r w:rsidRPr="0097120C">
                          <w:rPr>
                            <w:rFonts w:ascii="Arial" w:hAnsi="Arial" w:cs="Arial"/>
                            <w:sz w:val="18"/>
                            <w:szCs w:val="18"/>
                            <w:lang w:val="en-US"/>
                          </w:rPr>
                          <w:t>)</w:t>
                        </w:r>
                      </w:p>
                      <w:p w14:paraId="6DCFEE0F"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transaction frequency</w:t>
                        </w:r>
                      </w:p>
                      <w:p w14:paraId="5CECAD09"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Technology Transfer Offices – TTOs</w:t>
                        </w:r>
                      </w:p>
                    </w:txbxContent>
                  </v:textbox>
                </v:shape>
                <v:shape id="Fluxograma: Processo 55" o:spid="_x0000_s1028" type="#_x0000_t109" style="position:absolute;left:24479;top:2286;width:17280;height:9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U8MA&#10;AADcAAAADwAAAGRycy9kb3ducmV2LnhtbESPQWsCMRSE74L/ITzBmyZqtbI1iogFD71oPdTbY/O6&#10;u7h5WTdR479vBKHHYWa+YRaraGtxo9ZXjjWMhgoEce5MxYWG4/fnYA7CB2SDtWPS8CAPq2W3s8DM&#10;uDvv6XYIhUgQ9hlqKENoMil9XpJFP3QNcfJ+XWsxJNkW0rR4T3Bby7FSM2mx4rRQYkObkvLz4Wo1&#10;SHXdTtXmy7z/bN1pl18iPWTUut+L6w8QgWL4D7/aO6NhMnmD55l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rU8MAAADcAAAADwAAAAAAAAAAAAAAAACYAgAAZHJzL2Rv&#10;d25yZXYueG1sUEsFBgAAAAAEAAQA9QAAAIgDAAAAAA==&#10;" filled="f" strokecolor="black [3213]" strokeweight="1pt">
                  <v:textbox>
                    <w:txbxContent>
                      <w:p w14:paraId="4EC2E691"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DEMAND ENVIRONMENT</w:t>
                        </w:r>
                      </w:p>
                      <w:p w14:paraId="2614388C" w14:textId="2D1B020E" w:rsidR="00227257" w:rsidRPr="0097120C" w:rsidRDefault="00402002"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uncertainty</w:t>
                        </w:r>
                        <w:r w:rsidR="00227257" w:rsidRPr="0097120C">
                          <w:rPr>
                            <w:rFonts w:ascii="Arial" w:hAnsi="Arial" w:cs="Arial"/>
                            <w:sz w:val="18"/>
                            <w:szCs w:val="18"/>
                            <w:lang w:val="en-US"/>
                          </w:rPr>
                          <w:t xml:space="preserve"> (primary)</w:t>
                        </w:r>
                      </w:p>
                      <w:p w14:paraId="70CA0D9A"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regulatory environment</w:t>
                        </w:r>
                      </w:p>
                    </w:txbxContent>
                  </v:textbox>
                </v:shape>
                <v:shape id="Fluxograma: Processo 56" o:spid="_x0000_s1029" type="#_x0000_t109" style="position:absolute;left:3795;top:14324;width:17280;height:5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OyMUA&#10;AADcAAAADwAAAGRycy9kb3ducmV2LnhtbESPQWvCQBSE7wX/w/KE3upuDdYSXUVEIYdeanuwt0f2&#10;mYRm38bsGjf/vlso9DjMzDfMehttKwbqfeNYw/NMgSAunWm40vD5cXx6BeEDssHWMWkYycN2M3lY&#10;Y27cnd9pOIVKJAj7HDXUIXS5lL6syaKfuY44eRfXWwxJ9pU0Pd4T3LZyrtSLtNhwWqixo31N5ffp&#10;ZjVIdTss1P7NLM8H91WU10ijjFo/TuNuBSJQDP/hv3ZhNGTZ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s7IxQAAANwAAAAPAAAAAAAAAAAAAAAAAJgCAABkcnMv&#10;ZG93bnJldi54bWxQSwUGAAAAAAQABAD1AAAAigMAAAAA&#10;" filled="f" strokecolor="black [3213]" strokeweight="1pt">
                  <v:textbox>
                    <w:txbxContent>
                      <w:p w14:paraId="3BF923DE"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MEDIA</w:t>
                        </w:r>
                      </w:p>
                      <w:p w14:paraId="5FE1CED1"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specificity</w:t>
                        </w:r>
                      </w:p>
                      <w:p w14:paraId="74C81997"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Intellectual Property Rights – IPRs</w:t>
                        </w:r>
                      </w:p>
                    </w:txbxContent>
                  </v:textbox>
                </v:shape>
                <v:shape id="Fluxograma: Processo 57" o:spid="_x0000_s1030" type="#_x0000_t109" style="position:absolute;left:24669;top:14324;width:17280;height:5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BQv8UA&#10;AADcAAAADwAAAGRycy9kb3ducmV2LnhtbESPQWvCQBSE7wX/w/KE3upuDdUSXUVEIYdeanuwt0f2&#10;mYRm38bsGjf/vlso9DjMzDfMehttKwbqfeNYw/NMgSAunWm40vD5cXx6BeEDssHWMWkYycN2M3lY&#10;Y27cnd9pOIVKJAj7HDXUIXS5lL6syaKfuY44eRfXWwxJ9pU0Pd4T3LZyrtRCWmw4LdTY0b6m8vt0&#10;sxqkuh1e1P7NLM8H91WU10ijjFo/TuNuBSJQDP/hv3ZhNGTZ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FC/xQAAANwAAAAPAAAAAAAAAAAAAAAAAJgCAABkcnMv&#10;ZG93bnJldi54bWxQSwUGAAAAAAQABAD1AAAAigMAAAAA&#10;" filled="f" strokecolor="black [3213]" strokeweight="1pt">
                  <v:textbox>
                    <w:txbxContent>
                      <w:p w14:paraId="50DF2CFF"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RECIPIENT</w:t>
                        </w:r>
                      </w:p>
                      <w:p w14:paraId="1CCE04E9"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bonded rationality</w:t>
                        </w:r>
                      </w:p>
                      <w:p w14:paraId="269F230E" w14:textId="7EFC9FFE"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 xml:space="preserve">information </w:t>
                        </w:r>
                        <w:r w:rsidR="00402002" w:rsidRPr="0097120C">
                          <w:rPr>
                            <w:rFonts w:ascii="Arial" w:hAnsi="Arial" w:cs="Arial"/>
                            <w:sz w:val="18"/>
                            <w:szCs w:val="18"/>
                            <w:lang w:val="en-US"/>
                          </w:rPr>
                          <w:t>asymmetry</w:t>
                        </w:r>
                        <w:r w:rsidRPr="0097120C">
                          <w:rPr>
                            <w:rFonts w:ascii="Arial" w:hAnsi="Arial" w:cs="Arial"/>
                            <w:sz w:val="18"/>
                            <w:szCs w:val="18"/>
                            <w:lang w:val="en-US"/>
                          </w:rPr>
                          <w:t xml:space="preserve"> (</w:t>
                        </w:r>
                        <w:r w:rsidRPr="0097120C">
                          <w:rPr>
                            <w:rFonts w:ascii="Arial" w:hAnsi="Arial" w:cs="Arial"/>
                            <w:color w:val="222222"/>
                            <w:sz w:val="18"/>
                            <w:szCs w:val="18"/>
                            <w:shd w:val="clear" w:color="auto" w:fill="FFFFFF"/>
                            <w:lang w:val="en-US"/>
                          </w:rPr>
                          <w:t>opportunistic behavior</w:t>
                        </w:r>
                        <w:r w:rsidRPr="0097120C">
                          <w:rPr>
                            <w:rFonts w:ascii="Arial" w:hAnsi="Arial" w:cs="Arial"/>
                            <w:sz w:val="18"/>
                            <w:szCs w:val="18"/>
                            <w:lang w:val="en-US"/>
                          </w:rPr>
                          <w:t>)</w:t>
                        </w:r>
                      </w:p>
                    </w:txbxContent>
                  </v:textbox>
                </v:shape>
                <v:shape id="Fluxograma: Processo 58" o:spid="_x0000_s1031" type="#_x0000_t109" style="position:absolute;left:3795;top:22972;width:17280;height: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1JMQA&#10;AADcAAAADwAAAGRycy9kb3ducmV2LnhtbESPS4sCMRCE78L+h9ALe9NkV3wwGmURFzx48XHQWzNp&#10;ZwYnndlJ1PjvjSB4LKrqK2o6j7YWV2p95VjDd0+BIM6dqbjQsN/9dccgfEA2WDsmDXfyMJ99dKaY&#10;GXfjDV23oRAJwj5DDWUITSalz0uy6HuuIU7eybUWQ5JtIU2LtwS3tfxRaigtVpwWSmxoUVJ+3l6s&#10;Bqkuy4FarM3osHTHVf4f6S6j1l+f8XcCIlAM7/CrvTIa+v0RPM+k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s9STEAAAA3AAAAA8AAAAAAAAAAAAAAAAAmAIAAGRycy9k&#10;b3ducmV2LnhtbFBLBQYAAAAABAAEAPUAAACJAwAAAAA=&#10;" filled="f" strokecolor="black [3213]" strokeweight="1pt">
                  <v:textbox>
                    <w:txbxContent>
                      <w:p w14:paraId="13652582" w14:textId="77777777" w:rsidR="00227257" w:rsidRPr="0097120C" w:rsidRDefault="00227257" w:rsidP="00227257">
                        <w:pPr>
                          <w:jc w:val="center"/>
                          <w:rPr>
                            <w:rFonts w:ascii="Arial" w:hAnsi="Arial" w:cs="Arial"/>
                            <w:b/>
                            <w:sz w:val="18"/>
                            <w:szCs w:val="18"/>
                            <w:lang w:val="en-US"/>
                          </w:rPr>
                        </w:pPr>
                        <w:r w:rsidRPr="0097120C">
                          <w:rPr>
                            <w:rFonts w:ascii="Arial" w:hAnsi="Arial" w:cs="Arial"/>
                            <w:b/>
                            <w:sz w:val="18"/>
                            <w:szCs w:val="18"/>
                            <w:lang w:val="en-US"/>
                          </w:rPr>
                          <w:t>TRANSFER OBJECT</w:t>
                        </w:r>
                      </w:p>
                      <w:p w14:paraId="2A5C9C08" w14:textId="77777777" w:rsidR="00227257" w:rsidRPr="0097120C" w:rsidRDefault="00227257" w:rsidP="00227257">
                        <w:pPr>
                          <w:pStyle w:val="PargrafodaLista"/>
                          <w:numPr>
                            <w:ilvl w:val="0"/>
                            <w:numId w:val="16"/>
                          </w:numPr>
                          <w:ind w:left="284" w:hanging="142"/>
                          <w:rPr>
                            <w:rFonts w:ascii="Arial" w:hAnsi="Arial" w:cs="Arial"/>
                            <w:sz w:val="18"/>
                            <w:szCs w:val="18"/>
                            <w:lang w:val="en-US"/>
                          </w:rPr>
                        </w:pPr>
                        <w:r w:rsidRPr="0097120C">
                          <w:rPr>
                            <w:rFonts w:ascii="Arial" w:hAnsi="Arial" w:cs="Arial"/>
                            <w:sz w:val="18"/>
                            <w:szCs w:val="18"/>
                            <w:lang w:val="en-US"/>
                          </w:rPr>
                          <w:t>specificity</w:t>
                        </w:r>
                      </w:p>
                      <w:p w14:paraId="3DDAB466"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technology</w:t>
                        </w:r>
                      </w:p>
                      <w:p w14:paraId="0A479090" w14:textId="77777777" w:rsidR="00227257" w:rsidRPr="0097120C" w:rsidRDefault="00227257" w:rsidP="00227257">
                        <w:pPr>
                          <w:pStyle w:val="PargrafodaLista"/>
                          <w:numPr>
                            <w:ilvl w:val="1"/>
                            <w:numId w:val="16"/>
                          </w:numPr>
                          <w:ind w:left="567" w:hanging="141"/>
                          <w:rPr>
                            <w:rFonts w:ascii="Arial" w:hAnsi="Arial" w:cs="Arial"/>
                            <w:sz w:val="18"/>
                            <w:szCs w:val="18"/>
                            <w:lang w:val="en-US"/>
                          </w:rPr>
                        </w:pPr>
                        <w:r w:rsidRPr="0097120C">
                          <w:rPr>
                            <w:rFonts w:ascii="Arial" w:hAnsi="Arial" w:cs="Arial"/>
                            <w:sz w:val="18"/>
                            <w:szCs w:val="18"/>
                            <w:lang w:val="en-US"/>
                          </w:rPr>
                          <w:t>knowledge</w:t>
                        </w:r>
                      </w:p>
                    </w:txbxContent>
                  </v:textbox>
                </v:shape>
                <v:shapetype id="_x0000_t32" coordsize="21600,21600" o:spt="32" o:oned="t" path="m,l21600,21600e" filled="f">
                  <v:path arrowok="t" fillok="f" o:connecttype="none"/>
                  <o:lock v:ext="edit" shapetype="t"/>
                </v:shapetype>
                <v:shape id="Conector de seta reta 59" o:spid="_x0000_s1032" type="#_x0000_t32" style="position:absolute;left:12287;top:11661;width:0;height:2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VZGsIAAADcAAAADwAAAGRycy9kb3ducmV2LnhtbERPy4rCMBTdC/MP4Q64EU19IEM1yiA4&#10;iIhgHQR3l+ZOW6a5KUms9e/NQnB5OO/lujO1aMn5yrKC8SgBQZxbXXGh4Pe8HX6B8AFZY22ZFDzI&#10;w3r10Vtiqu2dT9RmoRAxhH2KCsoQmlRKn5dk0I9sQxy5P+sMhghdIbXDeww3tZwkyVwarDg2lNjQ&#10;pqT8P7sZBZJwd5z5/eDnunWbZHybZIfjRan+Z/e9ABGoC2/xy73TCqbTuDaeiUd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VZGsIAAADcAAAADwAAAAAAAAAAAAAA&#10;AAChAgAAZHJzL2Rvd25yZXYueG1sUEsFBgAAAAAEAAQA+QAAAJADAAAAAA==&#10;" strokecolor="black [3213]" strokeweight="1pt">
                  <v:stroke dashstyle="1 1" endarrow="block"/>
                </v:shape>
                <v:shape id="Conector de seta reta 60" o:spid="_x0000_s1033" type="#_x0000_t32" style="position:absolute;left:30289;top:11661;width:0;height:2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Vk8MAAAADcAAAADwAAAGRycy9kb3ducmV2LnhtbESPzQrCMBCE74LvEFbwpqkKotUoUhA8&#10;iODPAyzN2labTWlSW9/eCILHYWa+YdbbzpTiRbUrLCuYjCMQxKnVBWcKbtf9aAHCeWSNpWVS8CYH&#10;202/t8ZY25bP9Lr4TAQIuxgV5N5XsZQuzcmgG9uKOHh3Wxv0QdaZ1DW2AW5KOY2iuTRYcFjIsaIk&#10;p/R5aYyC/VQfd7fHI0qYk1Or36fmKBulhoNutwLhqfP/8K990ApmsyV8z4QjID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ZPDAAAAA3AAAAA8AAAAAAAAAAAAAAAAA&#10;oQIAAGRycy9kb3ducmV2LnhtbFBLBQYAAAAABAAEAPkAAACOAwAAAAA=&#10;" strokecolor="black [3213]" strokeweight="1pt">
                  <v:stroke startarrow="block"/>
                </v:shape>
                <v:shape id="Conector de seta reta 61" o:spid="_x0000_s1034" type="#_x0000_t32" style="position:absolute;left:36385;top:11661;width:0;height:2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wacIAAADcAAAADwAAAGRycy9kb3ducmV2LnhtbERPTWvCQBC9C/6HZQrezKY1NpK6irQE&#10;hfYSW+9DdkxCs7MhuzXRX+8eCh4f73u9HU0rLtS7xrKC5ygGQVxa3XCl4Oc7n69AOI+ssbVMCq7k&#10;YLuZTtaYaTtwQZejr0QIYZehgtr7LpPSlTUZdJHtiAN3tr1BH2BfSd3jEMJNK1/i+FUabDg01NjR&#10;e03l7/HPKNhrXJzOydKURZFXH+nnV5LenFKzp3H3BsLT6B/if/dBK1gkYX44E4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UwacIAAADcAAAADwAAAAAAAAAAAAAA&#10;AAChAgAAZHJzL2Rvd25yZXYueG1sUEsFBgAAAAAEAAQA+QAAAJADAAAAAA==&#10;" strokecolor="black [3213]" strokeweight="1pt">
                  <v:stroke endarrow="block"/>
                </v:shape>
                <v:shape id="Conector de seta reta 62" o:spid="_x0000_s1035" type="#_x0000_t32" style="position:absolute;left:21075;top:18564;width:3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mV8sUAAADcAAAADwAAAGRycy9kb3ducmV2LnhtbESPzWrDMBCE74W8g9hAb43sxE2CG8WE&#10;FtNAc3F+7ou1sU2tlbHU2O3TV4FCj8PMfMNsstG04ka9aywriGcRCOLS6oYrBedT/rQG4TyyxtYy&#10;KfgmB9l28rDBVNuBC7odfSUChF2KCmrvu1RKV9Zk0M1sRxy8q+0N+iD7SuoehwA3rZxH0VIabDgs&#10;1NjRa03l5/HLKHjXuLhck2dTFkVeva0+Dsnqxyn1OB13LyA8jf4//NfeawWLJIb7mXAE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mV8sUAAADcAAAADwAAAAAAAAAA&#10;AAAAAAChAgAAZHJzL2Rvd25yZXYueG1sUEsFBgAAAAAEAAQA+QAAAJMDAAAAAA==&#10;" strokecolor="black [3213]" strokeweight="1pt">
                  <v:stroke endarrow="block"/>
                </v:shape>
                <v:shape id="Conector de seta reta 63" o:spid="_x0000_s1036" type="#_x0000_t32" style="position:absolute;left:20994;top:16186;width:3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eF/MMAAADcAAAADwAAAGRycy9kb3ducmV2LnhtbESP3WqDQBSE7wt9h+UEetessaUEmzUE&#10;IdALEWp9gIN74k/ds+KuUd++Wyj0cpiZb5jTeTWDuNPkOssKDvsIBHFtdceNgurr+nwE4TyyxsEy&#10;KdjIwTl9fDhhou3Cn3QvfSMChF2CClrvx0RKV7dk0O3tSBy8m50M+iCnRuoJlwA3g4yj6E0a7Dgs&#10;tDhS1lL9Xc5GwTXW+aXq+yhjzopFb8Wcy1mpp916eQfhafX/4b/2h1bw8hrD75lwBG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nhfzDAAAA3AAAAA8AAAAAAAAAAAAA&#10;AAAAoQIAAGRycy9kb3ducmV2LnhtbFBLBQYAAAAABAAEAPkAAACRAwAAAAA=&#10;" strokecolor="black [3213]" strokeweight="1pt">
                  <v:stroke startarrow="block"/>
                </v:shape>
                <v:shape id="AutoShape 64" o:spid="_x0000_s1037" type="#_x0000_t32" style="position:absolute;left:20859;top:7715;width:3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t6Y8QAAADcAAAADwAAAGRycy9kb3ducmV2LnhtbESPT4vCMBTE74LfIbyFvciauoor1Siy&#10;7IJ48f/90Tzbss1LabJt/PZGEDwOM/MbZrEKphItNa60rGA0TEAQZ1aXnCs4n34/ZiCcR9ZYWSYF&#10;N3KwWvZ7C0y17fhA7dHnIkLYpaig8L5OpXRZQQbd0NbE0bvaxqCPssmlbrCLcFPJzySZSoMlx4UC&#10;a/ouKPs7/hsF+11YDybbU9fuyVzK2fUnfG3OSr2/hfUchKfgX+Fne6MVjCdjeJy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e3pjxAAAANwAAAAPAAAAAAAAAAAA&#10;AAAAAKECAABkcnMvZG93bnJldi54bWxQSwUGAAAAAAQABAD5AAAAkgMAAAAA&#10;" strokecolor="black [3213]" strokeweight="1pt">
                  <v:stroke dashstyle="1 1" startarrow="block"/>
                </v:shape>
                <v:shape id="Conector de seta reta 289" o:spid="_x0000_s1038" type="#_x0000_t32" style="position:absolute;top:25983;width:37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42asUAAADcAAAADwAAAGRycy9kb3ducmV2LnhtbESPQWvCQBSE70L/w/IKvdVNTdSSugax&#10;iAW9RNv7I/tMQrNvQ3ZNYn99t1DwOMzMN8wqG00jeupcbVnByzQCQVxYXXOp4PO8e34F4TyyxsYy&#10;KbiRg2z9MFlhqu3AOfUnX4oAYZeigsr7NpXSFRUZdFPbEgfvYjuDPsiulLrDIcBNI2dRtJAGaw4L&#10;Fba0raj4Pl2Ngr3G+OuSzE2R57vyfXk4Jssfp9TT47h5A+Fp9Pfwf/tDK4iTBP7Oh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42asUAAADcAAAADwAAAAAAAAAA&#10;AAAAAAChAgAAZHJzL2Rvd25yZXYueG1sUEsFBgAAAAAEAAQA+QAAAJMDAAAAAA==&#10;" strokecolor="black [3213]" strokeweight="1pt">
                  <v:stroke endarrow="block"/>
                </v:shape>
                <v:shape id="Conector de seta reta 290" o:spid="_x0000_s1039" type="#_x0000_t32" style="position:absolute;top:7810;width:3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51AsMAAADcAAAADwAAAGRycy9kb3ducmV2LnhtbESPT4vCMBTE7wt+h/AEb5r6Z8XtGkWU&#10;oqdVu3p/NG/bYvNSmqj12xtB2OMwM79h5svWVOJGjSstKxgOIhDEmdUl5wpOv0l/BsJ5ZI2VZVLw&#10;IAfLRedjjrG2dz7SLfW5CBB2MSoovK9jKV1WkEE3sDVx8P5sY9AH2eRSN3gPcFPJURRNpcGSw0KB&#10;Na0Lyi7p1Sjw000rD9svPq+zmdM/52R/ShOlet129Q3CU+v/w+/2TisYTz7hdSYcAb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dQLDAAAA3AAAAA8AAAAAAAAAAAAA&#10;AAAAoQIAAGRycy9kb3ducmV2LnhtbFBLBQYAAAAABAAEAPkAAACRAwAAAAA=&#10;" strokecolor="black [3213]" strokeweight="1pt"/>
                <v:line id="Line 67" o:spid="_x0000_s1040" style="position:absolute;visibility:visible;mso-wrap-style:square" from="0,7808" to="0,2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quf8cAAADcAAAADwAAAGRycy9kb3ducmV2LnhtbESPT2vCQBTE7wW/w/IKXqRu/NNYU1cR&#10;i+BFSqMHvT2yr0kw+zZkV5N+e1cQehxm5jfMYtWZStyocaVlBaNhBII4s7rkXMHxsH37AOE8ssbK&#10;Min4IwerZe9lgYm2Lf/QLfW5CBB2CSoovK8TKV1WkEE3tDVx8H5tY9AH2eRSN9gGuKnkOIpiabDk&#10;sFBgTZuCskt6NQq+jnGbzvP32WA02Xdz/h6fznujVP+1W3+C8NT5//CzvdMKJtMYHmfCEZ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iq5/xwAAANwAAAAPAAAAAAAA&#10;AAAAAAAAAKECAABkcnMvZG93bnJldi54bWxQSwUGAAAAAAQABAD5AAAAlQMAAAAA&#10;" strokecolor="black [3213]" strokeweight="1pt"/>
                <v:shape id="Conector de seta reta 292" o:spid="_x0000_s1041" type="#_x0000_t32" style="position:absolute;left:33362;top:20280;width:0;height:5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AmZMMAAADcAAAADwAAAGRycy9kb3ducmV2LnhtbESP3WrCQBSE7wu+w3KE3tWNsdgSXUUC&#10;ghcSMPoAh+wxiWbPhuzmx7fvFgq9HGbmG2a7n0wjBupcbVnBchGBIC6srrlUcLseP75BOI+ssbFM&#10;Cl7kYL+bvW0x0XbkCw25L0WAsEtQQeV9m0jpiooMuoVtiYN3t51BH2RXSt3hGOCmkXEUraXBmsNC&#10;hS2lFRXPvDcKjrE+H26PR5Qyp9moX1l/lr1S7/PpsAHhafL/4b/2SStYfX7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QJmTDAAAA3AAAAA8AAAAAAAAAAAAA&#10;AAAAoQIAAGRycy9kb3ducmV2LnhtbFBLBQYAAAAABAAEAPkAAACRAwAAAAA=&#10;" strokecolor="black [3213]" strokeweight="1pt">
                  <v:stroke startarrow="block"/>
                </v:shape>
                <v:shape id="Conector de seta reta 293" o:spid="_x0000_s1042" type="#_x0000_t32" style="position:absolute;left:21075;top:25869;width:122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nL8AAADcAAAADwAAAGRycy9kb3ducmV2LnhtbERPy4rCMBTdD/gP4QruxtQHotUoohRd&#10;OVp1f2mubbG5KU3U+vdmIczycN6LVWsq8aTGlZYVDPoRCOLM6pJzBZdz8jsF4TyyxsoyKXiTg9Wy&#10;87PAWNsXn+iZ+lyEEHYxKii8r2MpXVaQQde3NXHgbrYx6ANscqkbfIVwU8lhFE2kwZJDQ4E1bQrK&#10;7unDKPCTbSuPuxlfN9nU6cM1+bukiVK9brueg/DU+n/x173XCkbjsDacCUdAL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P/anL8AAADcAAAADwAAAAAAAAAAAAAAAACh&#10;AgAAZHJzL2Rvd25yZXYueG1sUEsFBgAAAAAEAAQA+QAAAI0DAAAAAA==&#10;" strokecolor="black [3213]" strokeweight="1pt"/>
                <w10:anchorlock/>
              </v:group>
            </w:pict>
          </mc:Fallback>
        </mc:AlternateContent>
      </w:r>
    </w:p>
    <w:p w14:paraId="422E822A" w14:textId="72FBEFAC" w:rsidR="00AD014D" w:rsidRPr="00AD014D" w:rsidRDefault="00227257" w:rsidP="00AD014D">
      <w:pPr>
        <w:jc w:val="center"/>
        <w:rPr>
          <w:rFonts w:ascii="Arial" w:hAnsi="Arial" w:cs="Arial"/>
          <w:sz w:val="20"/>
          <w:szCs w:val="20"/>
          <w:lang w:val="en-GB"/>
        </w:rPr>
      </w:pPr>
      <w:proofErr w:type="gramStart"/>
      <w:r w:rsidRPr="00AD014D">
        <w:rPr>
          <w:rFonts w:ascii="Arial" w:hAnsi="Arial" w:cs="Arial"/>
          <w:sz w:val="20"/>
          <w:szCs w:val="20"/>
          <w:lang w:val="en-GB"/>
        </w:rPr>
        <w:t>Figure 1.</w:t>
      </w:r>
      <w:proofErr w:type="gramEnd"/>
      <w:r w:rsidRPr="00AD014D">
        <w:rPr>
          <w:rFonts w:ascii="Arial" w:hAnsi="Arial" w:cs="Arial"/>
          <w:sz w:val="20"/>
          <w:szCs w:val="20"/>
          <w:lang w:val="en-GB"/>
        </w:rPr>
        <w:t xml:space="preserve"> </w:t>
      </w:r>
      <w:proofErr w:type="gramStart"/>
      <w:r w:rsidRPr="00AD014D">
        <w:rPr>
          <w:rFonts w:ascii="Arial" w:hAnsi="Arial" w:cs="Arial"/>
          <w:sz w:val="20"/>
          <w:szCs w:val="20"/>
          <w:lang w:val="en-GB"/>
        </w:rPr>
        <w:t xml:space="preserve">Conceptual frame relating </w:t>
      </w:r>
      <w:proofErr w:type="spellStart"/>
      <w:r w:rsidRPr="00AD014D">
        <w:rPr>
          <w:rFonts w:ascii="Arial" w:hAnsi="Arial" w:cs="Arial"/>
          <w:sz w:val="20"/>
          <w:szCs w:val="20"/>
          <w:lang w:val="en-GB"/>
        </w:rPr>
        <w:t>macrofeatures</w:t>
      </w:r>
      <w:proofErr w:type="spellEnd"/>
      <w:r w:rsidRPr="00AD014D">
        <w:rPr>
          <w:rFonts w:ascii="Arial" w:hAnsi="Arial" w:cs="Arial"/>
          <w:sz w:val="20"/>
          <w:szCs w:val="20"/>
          <w:lang w:val="en-GB"/>
        </w:rPr>
        <w:t xml:space="preserve"> of transaction costs (TCT) with contingent effectiveness’ dimensions (CEMT2).</w:t>
      </w:r>
      <w:proofErr w:type="gramEnd"/>
      <w:r w:rsidR="00AD014D">
        <w:rPr>
          <w:rFonts w:ascii="Arial" w:hAnsi="Arial" w:cs="Arial"/>
          <w:sz w:val="20"/>
          <w:szCs w:val="20"/>
          <w:lang w:val="en-GB"/>
        </w:rPr>
        <w:t xml:space="preserve"> </w:t>
      </w:r>
      <w:r w:rsidR="00B67091">
        <w:rPr>
          <w:rFonts w:ascii="Arial" w:hAnsi="Arial" w:cs="Arial"/>
          <w:sz w:val="20"/>
          <w:szCs w:val="20"/>
          <w:lang w:val="en-GB"/>
        </w:rPr>
        <w:t>Source: authors’ conceptualisation.</w:t>
      </w:r>
    </w:p>
    <w:p w14:paraId="089F70D6" w14:textId="1A481904" w:rsidR="00227257" w:rsidRPr="00AD014D" w:rsidRDefault="00B67091" w:rsidP="00B67091">
      <w:pPr>
        <w:spacing w:line="360" w:lineRule="auto"/>
        <w:rPr>
          <w:rFonts w:ascii="Arial" w:hAnsi="Arial" w:cs="Arial"/>
          <w:sz w:val="20"/>
          <w:szCs w:val="20"/>
          <w:lang w:val="en-GB"/>
        </w:rPr>
      </w:pPr>
      <w:proofErr w:type="gramStart"/>
      <w:r w:rsidRPr="00E058F8">
        <w:rPr>
          <w:rFonts w:ascii="Arial" w:hAnsi="Arial" w:cs="Arial"/>
          <w:sz w:val="22"/>
          <w:szCs w:val="22"/>
          <w:lang w:val="en-GB"/>
        </w:rPr>
        <w:lastRenderedPageBreak/>
        <w:t>between</w:t>
      </w:r>
      <w:proofErr w:type="gramEnd"/>
      <w:r w:rsidRPr="00E058F8">
        <w:rPr>
          <w:rFonts w:ascii="Arial" w:hAnsi="Arial" w:cs="Arial"/>
          <w:sz w:val="22"/>
          <w:szCs w:val="22"/>
          <w:lang w:val="en-GB"/>
        </w:rPr>
        <w:t xml:space="preserve"> academy and industry (Figure 1).</w:t>
      </w:r>
    </w:p>
    <w:p w14:paraId="67B871EB"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Considering R&amp;D ISA’s, or international technology transfer, Williamson’s transaction costs elements may be evaluated by the following variables (Table 2).</w:t>
      </w:r>
    </w:p>
    <w:p w14:paraId="29F73CB5" w14:textId="77777777" w:rsidR="00227257" w:rsidRPr="00E058F8" w:rsidRDefault="00227257" w:rsidP="00227257">
      <w:pPr>
        <w:jc w:val="both"/>
        <w:rPr>
          <w:rFonts w:ascii="Arial" w:hAnsi="Arial" w:cs="Arial"/>
          <w:sz w:val="22"/>
          <w:szCs w:val="22"/>
          <w:lang w:val="en-GB"/>
        </w:rPr>
      </w:pPr>
    </w:p>
    <w:p w14:paraId="0CE0BAA8" w14:textId="77777777" w:rsidR="00227257" w:rsidRPr="00AD014D" w:rsidRDefault="00227257" w:rsidP="00227257">
      <w:pPr>
        <w:jc w:val="center"/>
        <w:rPr>
          <w:rFonts w:ascii="Arial" w:hAnsi="Arial" w:cs="Arial"/>
          <w:sz w:val="20"/>
          <w:szCs w:val="20"/>
          <w:lang w:val="en-GB"/>
        </w:rPr>
      </w:pPr>
      <w:proofErr w:type="gramStart"/>
      <w:r w:rsidRPr="00AD014D">
        <w:rPr>
          <w:rFonts w:ascii="Arial" w:hAnsi="Arial" w:cs="Arial"/>
          <w:sz w:val="20"/>
          <w:szCs w:val="20"/>
          <w:lang w:val="en-GB"/>
        </w:rPr>
        <w:t>Table 2.</w:t>
      </w:r>
      <w:proofErr w:type="gramEnd"/>
      <w:r w:rsidRPr="00AD014D">
        <w:rPr>
          <w:rFonts w:ascii="Arial" w:hAnsi="Arial" w:cs="Arial"/>
          <w:sz w:val="20"/>
          <w:szCs w:val="20"/>
          <w:lang w:val="en-GB"/>
        </w:rPr>
        <w:t xml:space="preserve"> Variables present in TCT, considering contingencies in CEMT2.</w:t>
      </w:r>
    </w:p>
    <w:tbl>
      <w:tblPr>
        <w:tblStyle w:val="Tabelacomgrade"/>
        <w:tblW w:w="0" w:type="auto"/>
        <w:tblInd w:w="108" w:type="dxa"/>
        <w:tblLook w:val="04A0" w:firstRow="1" w:lastRow="0" w:firstColumn="1" w:lastColumn="0" w:noHBand="0" w:noVBand="1"/>
      </w:tblPr>
      <w:tblGrid>
        <w:gridCol w:w="2297"/>
        <w:gridCol w:w="2268"/>
        <w:gridCol w:w="4507"/>
      </w:tblGrid>
      <w:tr w:rsidR="00227257" w:rsidRPr="00E058F8" w14:paraId="0A9AF3EC" w14:textId="77777777" w:rsidTr="00BB0B57">
        <w:tc>
          <w:tcPr>
            <w:tcW w:w="2297" w:type="dxa"/>
            <w:vAlign w:val="center"/>
          </w:tcPr>
          <w:p w14:paraId="24657CC6" w14:textId="77777777" w:rsidR="00227257" w:rsidRPr="00E058F8" w:rsidRDefault="00227257" w:rsidP="00BE6CA5">
            <w:pPr>
              <w:jc w:val="center"/>
              <w:rPr>
                <w:rFonts w:ascii="Arial" w:hAnsi="Arial" w:cs="Arial"/>
                <w:b/>
                <w:lang w:val="en-GB"/>
              </w:rPr>
            </w:pPr>
            <w:r w:rsidRPr="00E058F8">
              <w:rPr>
                <w:rFonts w:ascii="Arial" w:hAnsi="Arial" w:cs="Arial"/>
                <w:b/>
                <w:lang w:val="en-GB"/>
              </w:rPr>
              <w:t>CEMT2</w:t>
            </w:r>
          </w:p>
        </w:tc>
        <w:tc>
          <w:tcPr>
            <w:tcW w:w="2268" w:type="dxa"/>
            <w:vAlign w:val="center"/>
          </w:tcPr>
          <w:p w14:paraId="6470852E" w14:textId="77777777" w:rsidR="00227257" w:rsidRPr="00E058F8" w:rsidRDefault="00227257" w:rsidP="00BE6CA5">
            <w:pPr>
              <w:jc w:val="center"/>
              <w:rPr>
                <w:rFonts w:ascii="Arial" w:hAnsi="Arial" w:cs="Arial"/>
                <w:b/>
                <w:lang w:val="en-GB"/>
              </w:rPr>
            </w:pPr>
            <w:r w:rsidRPr="00E058F8">
              <w:rPr>
                <w:rFonts w:ascii="Arial" w:hAnsi="Arial" w:cs="Arial"/>
                <w:b/>
                <w:lang w:val="en-GB"/>
              </w:rPr>
              <w:t>TCT</w:t>
            </w:r>
          </w:p>
        </w:tc>
        <w:tc>
          <w:tcPr>
            <w:tcW w:w="4507" w:type="dxa"/>
            <w:vAlign w:val="center"/>
          </w:tcPr>
          <w:p w14:paraId="4BB219F7" w14:textId="77777777" w:rsidR="00227257" w:rsidRPr="00E058F8" w:rsidRDefault="00227257" w:rsidP="00BE6CA5">
            <w:pPr>
              <w:jc w:val="center"/>
              <w:rPr>
                <w:rFonts w:ascii="Arial" w:hAnsi="Arial" w:cs="Arial"/>
                <w:b/>
                <w:lang w:val="en-GB"/>
              </w:rPr>
            </w:pPr>
            <w:r w:rsidRPr="00E058F8">
              <w:rPr>
                <w:rFonts w:ascii="Arial" w:hAnsi="Arial" w:cs="Arial"/>
                <w:b/>
                <w:lang w:val="en-GB"/>
              </w:rPr>
              <w:t>Variable</w:t>
            </w:r>
          </w:p>
        </w:tc>
      </w:tr>
      <w:tr w:rsidR="00227257" w:rsidRPr="00E058F8" w14:paraId="22A72B7D" w14:textId="77777777" w:rsidTr="00BB0B57">
        <w:tc>
          <w:tcPr>
            <w:tcW w:w="2297" w:type="dxa"/>
            <w:vAlign w:val="center"/>
          </w:tcPr>
          <w:p w14:paraId="758C5A61" w14:textId="77777777" w:rsidR="00227257" w:rsidRPr="00E058F8" w:rsidRDefault="00227257" w:rsidP="00BE6CA5">
            <w:pPr>
              <w:jc w:val="both"/>
              <w:rPr>
                <w:rFonts w:ascii="Arial" w:hAnsi="Arial" w:cs="Arial"/>
                <w:lang w:val="en-GB"/>
              </w:rPr>
            </w:pPr>
            <w:r w:rsidRPr="00E058F8">
              <w:rPr>
                <w:rFonts w:ascii="Arial" w:hAnsi="Arial" w:cs="Arial"/>
                <w:lang w:val="en-GB"/>
              </w:rPr>
              <w:t>Demand environment</w:t>
            </w:r>
          </w:p>
        </w:tc>
        <w:tc>
          <w:tcPr>
            <w:tcW w:w="2268" w:type="dxa"/>
            <w:vAlign w:val="center"/>
          </w:tcPr>
          <w:p w14:paraId="24743D8A" w14:textId="77777777" w:rsidR="00227257" w:rsidRPr="00E058F8" w:rsidRDefault="00227257" w:rsidP="00BE6CA5">
            <w:pPr>
              <w:jc w:val="both"/>
              <w:rPr>
                <w:rFonts w:ascii="Arial" w:hAnsi="Arial" w:cs="Arial"/>
                <w:lang w:val="en-GB"/>
              </w:rPr>
            </w:pPr>
            <w:r w:rsidRPr="00E058F8">
              <w:rPr>
                <w:rFonts w:ascii="Arial" w:hAnsi="Arial" w:cs="Arial"/>
                <w:lang w:val="en-GB"/>
              </w:rPr>
              <w:t>Uncertainty</w:t>
            </w:r>
          </w:p>
        </w:tc>
        <w:tc>
          <w:tcPr>
            <w:tcW w:w="4507" w:type="dxa"/>
            <w:vAlign w:val="center"/>
          </w:tcPr>
          <w:p w14:paraId="1A69AC2E" w14:textId="77777777" w:rsidR="00227257" w:rsidRPr="00E058F8" w:rsidRDefault="00227257" w:rsidP="00BE6CA5">
            <w:pPr>
              <w:jc w:val="both"/>
              <w:rPr>
                <w:rFonts w:ascii="Arial" w:hAnsi="Arial" w:cs="Arial"/>
                <w:lang w:val="en-GB"/>
              </w:rPr>
            </w:pPr>
            <w:r w:rsidRPr="00E058F8">
              <w:rPr>
                <w:rFonts w:ascii="Arial" w:hAnsi="Arial" w:cs="Arial"/>
                <w:lang w:val="en-GB"/>
              </w:rPr>
              <w:t>Innovation regulatory environment</w:t>
            </w:r>
          </w:p>
          <w:p w14:paraId="62FF1A67" w14:textId="77777777" w:rsidR="00227257" w:rsidRPr="00E058F8" w:rsidRDefault="00227257" w:rsidP="00BE6CA5">
            <w:pPr>
              <w:jc w:val="both"/>
              <w:rPr>
                <w:rFonts w:ascii="Arial" w:hAnsi="Arial" w:cs="Arial"/>
                <w:lang w:val="en-GB"/>
              </w:rPr>
            </w:pPr>
            <w:r w:rsidRPr="00E058F8">
              <w:rPr>
                <w:rFonts w:ascii="Arial" w:hAnsi="Arial" w:cs="Arial"/>
                <w:lang w:val="en-GB"/>
              </w:rPr>
              <w:t>Schedule for product development</w:t>
            </w:r>
          </w:p>
          <w:p w14:paraId="6FA4DC5F" w14:textId="77777777" w:rsidR="00227257" w:rsidRPr="00E058F8" w:rsidRDefault="00227257" w:rsidP="00BE6CA5">
            <w:pPr>
              <w:jc w:val="both"/>
              <w:rPr>
                <w:rFonts w:ascii="Arial" w:hAnsi="Arial" w:cs="Arial"/>
                <w:lang w:val="en-GB"/>
              </w:rPr>
            </w:pPr>
            <w:r w:rsidRPr="00E058F8">
              <w:rPr>
                <w:rFonts w:ascii="Arial" w:hAnsi="Arial" w:cs="Arial"/>
                <w:lang w:val="en-GB"/>
              </w:rPr>
              <w:t>Dispute resolution</w:t>
            </w:r>
          </w:p>
        </w:tc>
      </w:tr>
      <w:tr w:rsidR="00227257" w:rsidRPr="00E058F8" w14:paraId="62BE7443" w14:textId="77777777" w:rsidTr="00BB0B57">
        <w:tc>
          <w:tcPr>
            <w:tcW w:w="2297" w:type="dxa"/>
            <w:vAlign w:val="center"/>
          </w:tcPr>
          <w:p w14:paraId="023C215F" w14:textId="77777777" w:rsidR="00227257" w:rsidRPr="00E058F8" w:rsidRDefault="00227257" w:rsidP="00BE6CA5">
            <w:pPr>
              <w:jc w:val="both"/>
              <w:rPr>
                <w:rFonts w:ascii="Arial" w:hAnsi="Arial" w:cs="Arial"/>
                <w:lang w:val="en-GB"/>
              </w:rPr>
            </w:pPr>
            <w:r w:rsidRPr="00E058F8">
              <w:rPr>
                <w:rFonts w:ascii="Arial" w:hAnsi="Arial" w:cs="Arial"/>
                <w:lang w:val="en-GB"/>
              </w:rPr>
              <w:t>Transfer media</w:t>
            </w:r>
          </w:p>
        </w:tc>
        <w:tc>
          <w:tcPr>
            <w:tcW w:w="2268" w:type="dxa"/>
            <w:vAlign w:val="center"/>
          </w:tcPr>
          <w:p w14:paraId="57D8ED83" w14:textId="77777777" w:rsidR="00227257" w:rsidRPr="00E058F8" w:rsidRDefault="00227257" w:rsidP="00BE6CA5">
            <w:pPr>
              <w:jc w:val="both"/>
              <w:rPr>
                <w:rFonts w:ascii="Arial" w:hAnsi="Arial" w:cs="Arial"/>
                <w:lang w:val="en-GB"/>
              </w:rPr>
            </w:pPr>
            <w:r w:rsidRPr="00E058F8">
              <w:rPr>
                <w:rFonts w:ascii="Arial" w:hAnsi="Arial" w:cs="Arial"/>
                <w:lang w:val="en-GB"/>
              </w:rPr>
              <w:t>Frequency</w:t>
            </w:r>
          </w:p>
        </w:tc>
        <w:tc>
          <w:tcPr>
            <w:tcW w:w="4507" w:type="dxa"/>
            <w:vAlign w:val="center"/>
          </w:tcPr>
          <w:p w14:paraId="381C96AE" w14:textId="77777777" w:rsidR="00227257" w:rsidRPr="00E058F8" w:rsidRDefault="00227257" w:rsidP="00BE6CA5">
            <w:pPr>
              <w:jc w:val="both"/>
              <w:rPr>
                <w:rFonts w:ascii="Arial" w:hAnsi="Arial" w:cs="Arial"/>
                <w:lang w:val="en-GB"/>
              </w:rPr>
            </w:pPr>
            <w:r w:rsidRPr="00E058F8">
              <w:rPr>
                <w:rFonts w:ascii="Arial" w:hAnsi="Arial" w:cs="Arial"/>
                <w:lang w:val="en-GB"/>
              </w:rPr>
              <w:t>Type of contract</w:t>
            </w:r>
          </w:p>
          <w:p w14:paraId="3BCD64C2" w14:textId="77777777" w:rsidR="00227257" w:rsidRPr="00E058F8" w:rsidRDefault="00227257" w:rsidP="00BE6CA5">
            <w:pPr>
              <w:jc w:val="both"/>
              <w:rPr>
                <w:rFonts w:ascii="Arial" w:hAnsi="Arial" w:cs="Arial"/>
                <w:lang w:val="en-GB"/>
              </w:rPr>
            </w:pPr>
            <w:r w:rsidRPr="00E058F8">
              <w:rPr>
                <w:rFonts w:ascii="Arial" w:hAnsi="Arial" w:cs="Arial"/>
                <w:lang w:val="en-GB"/>
              </w:rPr>
              <w:t>Contract period</w:t>
            </w:r>
          </w:p>
          <w:p w14:paraId="519F2E42" w14:textId="77777777" w:rsidR="00227257" w:rsidRPr="00E058F8" w:rsidRDefault="00227257" w:rsidP="00BE6CA5">
            <w:pPr>
              <w:jc w:val="both"/>
              <w:rPr>
                <w:rFonts w:ascii="Arial" w:hAnsi="Arial" w:cs="Arial"/>
                <w:lang w:val="en-GB"/>
              </w:rPr>
            </w:pPr>
            <w:r w:rsidRPr="00E058F8">
              <w:rPr>
                <w:rFonts w:ascii="Arial" w:hAnsi="Arial" w:cs="Arial"/>
                <w:lang w:val="en-GB"/>
              </w:rPr>
              <w:t>Organizational structure for negotiation</w:t>
            </w:r>
          </w:p>
        </w:tc>
      </w:tr>
      <w:tr w:rsidR="00227257" w:rsidRPr="00E058F8" w14:paraId="4C73B95A" w14:textId="77777777" w:rsidTr="00BB0B57">
        <w:tc>
          <w:tcPr>
            <w:tcW w:w="2297" w:type="dxa"/>
            <w:vAlign w:val="center"/>
          </w:tcPr>
          <w:p w14:paraId="3F7F29D2" w14:textId="77777777" w:rsidR="00227257" w:rsidRDefault="00227257" w:rsidP="00BE6CA5">
            <w:pPr>
              <w:jc w:val="both"/>
              <w:rPr>
                <w:rFonts w:ascii="Arial" w:hAnsi="Arial" w:cs="Arial"/>
                <w:lang w:val="en-GB"/>
              </w:rPr>
            </w:pPr>
            <w:r w:rsidRPr="00E058F8">
              <w:rPr>
                <w:rFonts w:ascii="Arial" w:hAnsi="Arial" w:cs="Arial"/>
                <w:lang w:val="en-GB"/>
              </w:rPr>
              <w:t>Transfer media</w:t>
            </w:r>
          </w:p>
          <w:p w14:paraId="72D7B22E" w14:textId="77777777" w:rsidR="0074205F" w:rsidRDefault="0074205F" w:rsidP="00BE6CA5">
            <w:pPr>
              <w:jc w:val="both"/>
              <w:rPr>
                <w:rFonts w:ascii="Arial" w:hAnsi="Arial" w:cs="Arial"/>
                <w:lang w:val="en-GB"/>
              </w:rPr>
            </w:pPr>
          </w:p>
          <w:p w14:paraId="0C744452" w14:textId="77777777" w:rsidR="00227257" w:rsidRPr="00E058F8" w:rsidRDefault="00227257" w:rsidP="00BE6CA5">
            <w:pPr>
              <w:jc w:val="both"/>
              <w:rPr>
                <w:rFonts w:ascii="Arial" w:hAnsi="Arial" w:cs="Arial"/>
                <w:lang w:val="en-GB"/>
              </w:rPr>
            </w:pPr>
            <w:bookmarkStart w:id="0" w:name="_GoBack"/>
            <w:bookmarkEnd w:id="0"/>
            <w:r w:rsidRPr="00E058F8">
              <w:rPr>
                <w:rFonts w:ascii="Arial" w:hAnsi="Arial" w:cs="Arial"/>
                <w:lang w:val="en-GB"/>
              </w:rPr>
              <w:t>Transfer object</w:t>
            </w:r>
          </w:p>
        </w:tc>
        <w:tc>
          <w:tcPr>
            <w:tcW w:w="2268" w:type="dxa"/>
            <w:vAlign w:val="center"/>
          </w:tcPr>
          <w:p w14:paraId="636DA7E6" w14:textId="77777777" w:rsidR="00227257" w:rsidRPr="00E058F8" w:rsidRDefault="00227257" w:rsidP="00BE6CA5">
            <w:pPr>
              <w:jc w:val="both"/>
              <w:rPr>
                <w:rFonts w:ascii="Arial" w:hAnsi="Arial" w:cs="Arial"/>
                <w:lang w:val="en-GB"/>
              </w:rPr>
            </w:pPr>
            <w:r w:rsidRPr="00E058F8">
              <w:rPr>
                <w:rFonts w:ascii="Arial" w:hAnsi="Arial" w:cs="Arial"/>
                <w:lang w:val="en-GB"/>
              </w:rPr>
              <w:t>Specificity</w:t>
            </w:r>
          </w:p>
        </w:tc>
        <w:tc>
          <w:tcPr>
            <w:tcW w:w="4507" w:type="dxa"/>
            <w:vAlign w:val="center"/>
          </w:tcPr>
          <w:p w14:paraId="00CEFF8B" w14:textId="77777777" w:rsidR="00227257" w:rsidRPr="00E058F8" w:rsidRDefault="00227257" w:rsidP="00BE6CA5">
            <w:pPr>
              <w:jc w:val="both"/>
              <w:rPr>
                <w:rFonts w:ascii="Arial" w:hAnsi="Arial" w:cs="Arial"/>
                <w:lang w:val="en-GB"/>
              </w:rPr>
            </w:pPr>
            <w:r w:rsidRPr="00E058F8">
              <w:rPr>
                <w:rFonts w:ascii="Arial" w:hAnsi="Arial" w:cs="Arial"/>
                <w:lang w:val="en-GB"/>
              </w:rPr>
              <w:t>Subject</w:t>
            </w:r>
          </w:p>
          <w:p w14:paraId="202E3AEF" w14:textId="77777777" w:rsidR="00227257" w:rsidRPr="00E058F8" w:rsidRDefault="00227257" w:rsidP="00BE6CA5">
            <w:pPr>
              <w:jc w:val="both"/>
              <w:rPr>
                <w:rFonts w:ascii="Arial" w:hAnsi="Arial" w:cs="Arial"/>
                <w:lang w:val="en-GB"/>
              </w:rPr>
            </w:pPr>
            <w:r w:rsidRPr="00E058F8">
              <w:rPr>
                <w:rFonts w:ascii="Arial" w:hAnsi="Arial" w:cs="Arial"/>
                <w:lang w:val="en-GB"/>
              </w:rPr>
              <w:t>IP ownership</w:t>
            </w:r>
          </w:p>
          <w:p w14:paraId="2897A896" w14:textId="77777777" w:rsidR="00227257" w:rsidRPr="00E058F8" w:rsidRDefault="00227257" w:rsidP="00BE6CA5">
            <w:pPr>
              <w:jc w:val="both"/>
              <w:rPr>
                <w:rFonts w:ascii="Arial" w:hAnsi="Arial" w:cs="Arial"/>
                <w:lang w:val="en-GB"/>
              </w:rPr>
            </w:pPr>
            <w:r w:rsidRPr="00E058F8">
              <w:rPr>
                <w:rFonts w:ascii="Arial" w:hAnsi="Arial" w:cs="Arial"/>
                <w:lang w:val="en-GB"/>
              </w:rPr>
              <w:t>Development stage of the technology</w:t>
            </w:r>
          </w:p>
          <w:p w14:paraId="5D2B4597" w14:textId="77777777" w:rsidR="00227257" w:rsidRPr="00E058F8" w:rsidRDefault="00227257" w:rsidP="00BE6CA5">
            <w:pPr>
              <w:jc w:val="both"/>
              <w:rPr>
                <w:rFonts w:ascii="Arial" w:hAnsi="Arial" w:cs="Arial"/>
                <w:lang w:val="en-GB"/>
              </w:rPr>
            </w:pPr>
            <w:r w:rsidRPr="00E058F8">
              <w:rPr>
                <w:rFonts w:ascii="Arial" w:hAnsi="Arial" w:cs="Arial"/>
                <w:lang w:val="en-GB"/>
              </w:rPr>
              <w:t>Exclusive or non-exclusive licensing</w:t>
            </w:r>
          </w:p>
          <w:p w14:paraId="601991CD" w14:textId="77777777" w:rsidR="00227257" w:rsidRPr="00E058F8" w:rsidRDefault="00227257" w:rsidP="00BE6CA5">
            <w:pPr>
              <w:jc w:val="both"/>
              <w:rPr>
                <w:rFonts w:ascii="Arial" w:hAnsi="Arial" w:cs="Arial"/>
                <w:lang w:val="en-GB"/>
              </w:rPr>
            </w:pPr>
            <w:r w:rsidRPr="00E058F8">
              <w:rPr>
                <w:rFonts w:ascii="Arial" w:hAnsi="Arial" w:cs="Arial"/>
                <w:lang w:val="en-GB"/>
              </w:rPr>
              <w:t>Technology improvements</w:t>
            </w:r>
          </w:p>
          <w:p w14:paraId="4FFB42D5" w14:textId="77777777" w:rsidR="00227257" w:rsidRPr="00E058F8" w:rsidRDefault="00227257" w:rsidP="00BE6CA5">
            <w:pPr>
              <w:jc w:val="both"/>
              <w:rPr>
                <w:rFonts w:ascii="Arial" w:hAnsi="Arial" w:cs="Arial"/>
                <w:lang w:val="en-GB"/>
              </w:rPr>
            </w:pPr>
            <w:r w:rsidRPr="00E058F8">
              <w:rPr>
                <w:rFonts w:ascii="Arial" w:hAnsi="Arial" w:cs="Arial"/>
                <w:lang w:val="en-GB"/>
              </w:rPr>
              <w:t>Sublicensing</w:t>
            </w:r>
          </w:p>
          <w:p w14:paraId="753FCBA7" w14:textId="77777777" w:rsidR="00227257" w:rsidRPr="00E058F8" w:rsidRDefault="00227257" w:rsidP="00BE6CA5">
            <w:pPr>
              <w:jc w:val="both"/>
              <w:rPr>
                <w:rFonts w:ascii="Arial" w:hAnsi="Arial" w:cs="Arial"/>
                <w:lang w:val="en-GB"/>
              </w:rPr>
            </w:pPr>
            <w:r w:rsidRPr="00E058F8">
              <w:rPr>
                <w:rFonts w:ascii="Arial" w:hAnsi="Arial" w:cs="Arial"/>
                <w:lang w:val="en-GB"/>
              </w:rPr>
              <w:t>Territory</w:t>
            </w:r>
          </w:p>
          <w:p w14:paraId="2B74C38D" w14:textId="77777777" w:rsidR="00227257" w:rsidRPr="00E058F8" w:rsidRDefault="00227257" w:rsidP="00BE6CA5">
            <w:pPr>
              <w:jc w:val="both"/>
              <w:rPr>
                <w:rFonts w:ascii="Arial" w:hAnsi="Arial" w:cs="Arial"/>
                <w:lang w:val="en-GB"/>
              </w:rPr>
            </w:pPr>
            <w:r w:rsidRPr="00E058F8">
              <w:rPr>
                <w:rFonts w:ascii="Arial" w:hAnsi="Arial" w:cs="Arial"/>
                <w:lang w:val="en-GB"/>
              </w:rPr>
              <w:t>Field of use</w:t>
            </w:r>
          </w:p>
          <w:p w14:paraId="397EB1B2" w14:textId="77777777" w:rsidR="00227257" w:rsidRPr="00E058F8" w:rsidRDefault="00227257" w:rsidP="00BE6CA5">
            <w:pPr>
              <w:jc w:val="both"/>
              <w:rPr>
                <w:rFonts w:ascii="Arial" w:hAnsi="Arial" w:cs="Arial"/>
                <w:lang w:val="en-GB"/>
              </w:rPr>
            </w:pPr>
            <w:r w:rsidRPr="00E058F8">
              <w:rPr>
                <w:rFonts w:ascii="Arial" w:hAnsi="Arial" w:cs="Arial"/>
                <w:lang w:val="en-GB"/>
              </w:rPr>
              <w:t>Payment</w:t>
            </w:r>
          </w:p>
        </w:tc>
      </w:tr>
      <w:tr w:rsidR="00227257" w:rsidRPr="00E058F8" w14:paraId="032E4916" w14:textId="77777777" w:rsidTr="00BB0B57">
        <w:tc>
          <w:tcPr>
            <w:tcW w:w="2297" w:type="dxa"/>
            <w:vAlign w:val="center"/>
          </w:tcPr>
          <w:p w14:paraId="0E9A9AAC" w14:textId="77777777" w:rsidR="00227257" w:rsidRPr="00E058F8" w:rsidRDefault="00227257" w:rsidP="00BE6CA5">
            <w:pPr>
              <w:jc w:val="both"/>
              <w:rPr>
                <w:rFonts w:ascii="Arial" w:hAnsi="Arial" w:cs="Arial"/>
                <w:lang w:val="en-GB"/>
              </w:rPr>
            </w:pPr>
            <w:r w:rsidRPr="00E058F8">
              <w:rPr>
                <w:rFonts w:ascii="Arial" w:hAnsi="Arial" w:cs="Arial"/>
                <w:lang w:val="en-GB"/>
              </w:rPr>
              <w:t>Transfer agent</w:t>
            </w:r>
          </w:p>
          <w:p w14:paraId="5C2C7E51" w14:textId="77777777" w:rsidR="00227257" w:rsidRPr="00E058F8" w:rsidRDefault="00227257" w:rsidP="00BE6CA5">
            <w:pPr>
              <w:jc w:val="both"/>
              <w:rPr>
                <w:rFonts w:ascii="Arial" w:hAnsi="Arial" w:cs="Arial"/>
                <w:lang w:val="en-GB"/>
              </w:rPr>
            </w:pPr>
            <w:r w:rsidRPr="00E058F8">
              <w:rPr>
                <w:rFonts w:ascii="Arial" w:hAnsi="Arial" w:cs="Arial"/>
                <w:lang w:val="en-GB"/>
              </w:rPr>
              <w:t>Transfer recipient</w:t>
            </w:r>
          </w:p>
        </w:tc>
        <w:tc>
          <w:tcPr>
            <w:tcW w:w="2268" w:type="dxa"/>
            <w:vAlign w:val="center"/>
          </w:tcPr>
          <w:p w14:paraId="31F6CE5B" w14:textId="77777777" w:rsidR="00227257" w:rsidRPr="00E058F8" w:rsidRDefault="00227257" w:rsidP="00BE6CA5">
            <w:pPr>
              <w:jc w:val="both"/>
              <w:rPr>
                <w:rFonts w:ascii="Arial" w:hAnsi="Arial" w:cs="Arial"/>
                <w:lang w:val="en-GB"/>
              </w:rPr>
            </w:pPr>
            <w:r w:rsidRPr="00E058F8">
              <w:rPr>
                <w:rFonts w:ascii="Arial" w:hAnsi="Arial" w:cs="Arial"/>
                <w:lang w:val="en-GB"/>
              </w:rPr>
              <w:t>Limited rationality</w:t>
            </w:r>
          </w:p>
        </w:tc>
        <w:tc>
          <w:tcPr>
            <w:tcW w:w="4507" w:type="dxa"/>
            <w:vAlign w:val="center"/>
          </w:tcPr>
          <w:p w14:paraId="6457463C" w14:textId="1807494A" w:rsidR="00227257" w:rsidRPr="00E058F8" w:rsidRDefault="00227257" w:rsidP="00BE6CA5">
            <w:pPr>
              <w:jc w:val="both"/>
              <w:rPr>
                <w:rFonts w:ascii="Arial" w:hAnsi="Arial" w:cs="Arial"/>
                <w:lang w:val="en-GB"/>
              </w:rPr>
            </w:pPr>
            <w:r w:rsidRPr="00E058F8">
              <w:rPr>
                <w:rFonts w:ascii="Arial" w:hAnsi="Arial" w:cs="Arial"/>
                <w:lang w:val="en-GB"/>
              </w:rPr>
              <w:t>Williamson’s incomplete contracts</w:t>
            </w:r>
          </w:p>
        </w:tc>
      </w:tr>
      <w:tr w:rsidR="00227257" w:rsidRPr="00E058F8" w14:paraId="0C178D76" w14:textId="77777777" w:rsidTr="00BB0B57">
        <w:tc>
          <w:tcPr>
            <w:tcW w:w="2297" w:type="dxa"/>
            <w:vAlign w:val="center"/>
          </w:tcPr>
          <w:p w14:paraId="21B689F1" w14:textId="77777777" w:rsidR="00227257" w:rsidRDefault="00227257" w:rsidP="00BE6CA5">
            <w:pPr>
              <w:jc w:val="both"/>
              <w:rPr>
                <w:rFonts w:ascii="Arial" w:hAnsi="Arial" w:cs="Arial"/>
                <w:lang w:val="en-GB"/>
              </w:rPr>
            </w:pPr>
            <w:r w:rsidRPr="00E058F8">
              <w:rPr>
                <w:rFonts w:ascii="Arial" w:hAnsi="Arial" w:cs="Arial"/>
                <w:lang w:val="en-GB"/>
              </w:rPr>
              <w:t>Transfer agent</w:t>
            </w:r>
          </w:p>
          <w:p w14:paraId="6355FA25" w14:textId="77777777" w:rsidR="0074205F" w:rsidRDefault="0074205F" w:rsidP="00BE6CA5">
            <w:pPr>
              <w:jc w:val="both"/>
              <w:rPr>
                <w:rFonts w:ascii="Arial" w:hAnsi="Arial" w:cs="Arial"/>
                <w:lang w:val="en-GB"/>
              </w:rPr>
            </w:pPr>
          </w:p>
          <w:p w14:paraId="72D697D3" w14:textId="77777777" w:rsidR="00227257" w:rsidRPr="00E058F8" w:rsidRDefault="00227257" w:rsidP="00BE6CA5">
            <w:pPr>
              <w:jc w:val="both"/>
              <w:rPr>
                <w:rFonts w:ascii="Arial" w:hAnsi="Arial" w:cs="Arial"/>
                <w:lang w:val="en-GB"/>
              </w:rPr>
            </w:pPr>
            <w:r w:rsidRPr="00E058F8">
              <w:rPr>
                <w:rFonts w:ascii="Arial" w:hAnsi="Arial" w:cs="Arial"/>
                <w:lang w:val="en-GB"/>
              </w:rPr>
              <w:t>Transfer recipient</w:t>
            </w:r>
          </w:p>
        </w:tc>
        <w:tc>
          <w:tcPr>
            <w:tcW w:w="2268" w:type="dxa"/>
            <w:vAlign w:val="center"/>
          </w:tcPr>
          <w:p w14:paraId="2D8B701E" w14:textId="77777777" w:rsidR="00227257" w:rsidRPr="00E058F8" w:rsidRDefault="00227257" w:rsidP="00BE6CA5">
            <w:pPr>
              <w:jc w:val="both"/>
              <w:rPr>
                <w:rFonts w:ascii="Arial" w:hAnsi="Arial" w:cs="Arial"/>
                <w:lang w:val="en-GB"/>
              </w:rPr>
            </w:pPr>
            <w:r w:rsidRPr="00E058F8">
              <w:rPr>
                <w:rFonts w:ascii="Arial" w:hAnsi="Arial" w:cs="Arial"/>
                <w:lang w:val="en-GB"/>
              </w:rPr>
              <w:t>Information asymmetry (</w:t>
            </w:r>
            <w:r w:rsidRPr="00E058F8">
              <w:rPr>
                <w:rFonts w:ascii="Arial" w:hAnsi="Arial" w:cs="Arial"/>
                <w:shd w:val="clear" w:color="auto" w:fill="FFFFFF"/>
                <w:lang w:val="en-GB"/>
              </w:rPr>
              <w:t>opportunistic behaviour</w:t>
            </w:r>
            <w:r w:rsidRPr="00E058F8">
              <w:rPr>
                <w:rFonts w:ascii="Arial" w:hAnsi="Arial" w:cs="Arial"/>
                <w:lang w:val="en-GB"/>
              </w:rPr>
              <w:t>)</w:t>
            </w:r>
          </w:p>
        </w:tc>
        <w:tc>
          <w:tcPr>
            <w:tcW w:w="4507" w:type="dxa"/>
            <w:vAlign w:val="center"/>
          </w:tcPr>
          <w:p w14:paraId="5958E91E" w14:textId="77777777" w:rsidR="00227257" w:rsidRPr="00E058F8" w:rsidRDefault="00227257" w:rsidP="00BE6CA5">
            <w:pPr>
              <w:jc w:val="both"/>
              <w:rPr>
                <w:rFonts w:ascii="Arial" w:hAnsi="Arial" w:cs="Arial"/>
                <w:lang w:val="en-GB"/>
              </w:rPr>
            </w:pPr>
            <w:r w:rsidRPr="00E058F8">
              <w:rPr>
                <w:rFonts w:ascii="Arial" w:hAnsi="Arial" w:cs="Arial"/>
                <w:lang w:val="en-GB"/>
              </w:rPr>
              <w:t>Subject</w:t>
            </w:r>
          </w:p>
          <w:p w14:paraId="42F402E8" w14:textId="77777777" w:rsidR="00227257" w:rsidRPr="00E058F8" w:rsidRDefault="00227257" w:rsidP="00BE6CA5">
            <w:pPr>
              <w:jc w:val="both"/>
              <w:rPr>
                <w:rFonts w:ascii="Arial" w:hAnsi="Arial" w:cs="Arial"/>
                <w:lang w:val="en-GB"/>
              </w:rPr>
            </w:pPr>
            <w:r w:rsidRPr="00E058F8">
              <w:rPr>
                <w:rFonts w:ascii="Arial" w:hAnsi="Arial" w:cs="Arial"/>
                <w:lang w:val="en-GB"/>
              </w:rPr>
              <w:t>Development stage of the technology</w:t>
            </w:r>
          </w:p>
          <w:p w14:paraId="26206469" w14:textId="77777777" w:rsidR="00227257" w:rsidRPr="00E058F8" w:rsidRDefault="00227257" w:rsidP="00BE6CA5">
            <w:pPr>
              <w:jc w:val="both"/>
              <w:rPr>
                <w:rFonts w:ascii="Arial" w:hAnsi="Arial" w:cs="Arial"/>
                <w:lang w:val="en-GB"/>
              </w:rPr>
            </w:pPr>
            <w:r w:rsidRPr="00E058F8">
              <w:rPr>
                <w:rFonts w:ascii="Arial" w:hAnsi="Arial" w:cs="Arial"/>
                <w:lang w:val="en-GB"/>
              </w:rPr>
              <w:t>Technology’s essential information</w:t>
            </w:r>
          </w:p>
          <w:p w14:paraId="43B8D9B9" w14:textId="77777777" w:rsidR="00227257" w:rsidRPr="00E058F8" w:rsidRDefault="00227257" w:rsidP="00BE6CA5">
            <w:pPr>
              <w:jc w:val="both"/>
              <w:rPr>
                <w:rFonts w:ascii="Arial" w:hAnsi="Arial" w:cs="Arial"/>
                <w:lang w:val="en-GB"/>
              </w:rPr>
            </w:pPr>
            <w:r w:rsidRPr="00E058F8">
              <w:rPr>
                <w:rFonts w:ascii="Arial" w:hAnsi="Arial" w:cs="Arial"/>
                <w:lang w:val="en-GB"/>
              </w:rPr>
              <w:t>Field of use</w:t>
            </w:r>
          </w:p>
          <w:p w14:paraId="25857649" w14:textId="77777777" w:rsidR="00227257" w:rsidRPr="00E058F8" w:rsidRDefault="00227257" w:rsidP="00BE6CA5">
            <w:pPr>
              <w:jc w:val="both"/>
              <w:rPr>
                <w:rFonts w:ascii="Arial" w:hAnsi="Arial" w:cs="Arial"/>
                <w:lang w:val="en-GB"/>
              </w:rPr>
            </w:pPr>
            <w:r w:rsidRPr="00E058F8">
              <w:rPr>
                <w:rFonts w:ascii="Arial" w:hAnsi="Arial" w:cs="Arial"/>
                <w:lang w:val="en-GB"/>
              </w:rPr>
              <w:t>Payment</w:t>
            </w:r>
          </w:p>
        </w:tc>
      </w:tr>
    </w:tbl>
    <w:p w14:paraId="525C56B9" w14:textId="75A16A9A" w:rsidR="00AD014D" w:rsidRPr="00AD014D" w:rsidRDefault="00B67091" w:rsidP="00AD014D">
      <w:pPr>
        <w:jc w:val="center"/>
        <w:rPr>
          <w:rFonts w:ascii="Arial" w:hAnsi="Arial" w:cs="Arial"/>
          <w:sz w:val="20"/>
          <w:szCs w:val="20"/>
          <w:lang w:val="en-GB"/>
        </w:rPr>
      </w:pPr>
      <w:r>
        <w:rPr>
          <w:rFonts w:ascii="Arial" w:hAnsi="Arial" w:cs="Arial"/>
          <w:sz w:val="20"/>
          <w:szCs w:val="20"/>
          <w:lang w:val="en-GB"/>
        </w:rPr>
        <w:t>Source: a</w:t>
      </w:r>
      <w:r w:rsidR="00AD014D" w:rsidRPr="00AD014D">
        <w:rPr>
          <w:rFonts w:ascii="Arial" w:hAnsi="Arial" w:cs="Arial"/>
          <w:sz w:val="20"/>
          <w:szCs w:val="20"/>
          <w:lang w:val="en-GB"/>
        </w:rPr>
        <w:t>uthors</w:t>
      </w:r>
      <w:r>
        <w:rPr>
          <w:rFonts w:ascii="Arial" w:hAnsi="Arial" w:cs="Arial"/>
          <w:sz w:val="20"/>
          <w:szCs w:val="20"/>
          <w:lang w:val="en-GB"/>
        </w:rPr>
        <w:t>’ conceptualisation</w:t>
      </w:r>
      <w:r w:rsidR="00AD014D" w:rsidRPr="00AD014D">
        <w:rPr>
          <w:rFonts w:ascii="Arial" w:hAnsi="Arial" w:cs="Arial"/>
          <w:sz w:val="20"/>
          <w:szCs w:val="20"/>
          <w:lang w:val="en-GB"/>
        </w:rPr>
        <w:t>.</w:t>
      </w:r>
    </w:p>
    <w:p w14:paraId="3B77E055" w14:textId="77777777" w:rsidR="00AD014D" w:rsidRDefault="00AD014D" w:rsidP="00227257">
      <w:pPr>
        <w:spacing w:line="360" w:lineRule="auto"/>
        <w:ind w:firstLine="708"/>
        <w:jc w:val="both"/>
        <w:rPr>
          <w:rFonts w:ascii="Arial" w:hAnsi="Arial" w:cs="Arial"/>
          <w:sz w:val="22"/>
          <w:szCs w:val="22"/>
          <w:lang w:val="en-GB"/>
        </w:rPr>
      </w:pPr>
    </w:p>
    <w:p w14:paraId="7E9AB185"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 xml:space="preserve">This methodology can be used both for inter-firm R&amp;D alliances and university-industry links; focus on university-industry links may be obtained adapting the </w:t>
      </w:r>
      <w:proofErr w:type="spellStart"/>
      <w:r w:rsidRPr="00E058F8">
        <w:rPr>
          <w:rFonts w:ascii="Arial" w:hAnsi="Arial" w:cs="Arial"/>
          <w:sz w:val="22"/>
          <w:szCs w:val="22"/>
          <w:lang w:val="en-GB"/>
        </w:rPr>
        <w:t>Bolzeman’s</w:t>
      </w:r>
      <w:proofErr w:type="spellEnd"/>
      <w:r w:rsidRPr="00E058F8">
        <w:rPr>
          <w:rFonts w:ascii="Arial" w:hAnsi="Arial" w:cs="Arial"/>
          <w:sz w:val="22"/>
          <w:szCs w:val="22"/>
          <w:lang w:val="en-GB"/>
        </w:rPr>
        <w:t xml:space="preserve"> </w:t>
      </w:r>
      <w:proofErr w:type="gramStart"/>
      <w:r w:rsidRPr="00E058F8">
        <w:rPr>
          <w:rFonts w:ascii="Arial" w:hAnsi="Arial" w:cs="Arial"/>
          <w:sz w:val="22"/>
          <w:szCs w:val="22"/>
          <w:lang w:val="en-GB"/>
        </w:rPr>
        <w:t>contingency</w:t>
      </w:r>
      <w:proofErr w:type="gramEnd"/>
      <w:r w:rsidRPr="00E058F8">
        <w:rPr>
          <w:rFonts w:ascii="Arial" w:hAnsi="Arial" w:cs="Arial"/>
          <w:sz w:val="22"/>
          <w:szCs w:val="22"/>
          <w:lang w:val="en-GB"/>
        </w:rPr>
        <w:t xml:space="preserve"> elements to this kind of alliances. Data concerning variables on Table 2 may be obtained through a survey, directed to CTOs (chief technology officers) in industry and senior technology managers in academia. </w:t>
      </w:r>
    </w:p>
    <w:p w14:paraId="0F992A5D" w14:textId="77777777" w:rsidR="00227257" w:rsidRPr="00E058F8" w:rsidRDefault="00227257" w:rsidP="00227257">
      <w:pPr>
        <w:spacing w:line="360" w:lineRule="auto"/>
        <w:jc w:val="both"/>
        <w:rPr>
          <w:rFonts w:ascii="Arial" w:hAnsi="Arial" w:cs="Arial"/>
          <w:sz w:val="22"/>
          <w:szCs w:val="22"/>
          <w:lang w:val="en-GB"/>
        </w:rPr>
      </w:pPr>
    </w:p>
    <w:p w14:paraId="01FAEC9C" w14:textId="77777777" w:rsidR="00227257" w:rsidRPr="00E058F8" w:rsidRDefault="00227257" w:rsidP="00227257">
      <w:pPr>
        <w:spacing w:line="360" w:lineRule="auto"/>
        <w:jc w:val="both"/>
        <w:rPr>
          <w:rFonts w:ascii="Arial" w:hAnsi="Arial" w:cs="Arial"/>
          <w:b/>
          <w:sz w:val="22"/>
          <w:szCs w:val="22"/>
          <w:lang w:val="en-GB"/>
        </w:rPr>
      </w:pPr>
      <w:r w:rsidRPr="00E058F8">
        <w:rPr>
          <w:rFonts w:ascii="Arial" w:hAnsi="Arial" w:cs="Arial"/>
          <w:b/>
          <w:sz w:val="22"/>
          <w:szCs w:val="22"/>
          <w:lang w:val="en-GB"/>
        </w:rPr>
        <w:t>4 Final Considerations</w:t>
      </w:r>
    </w:p>
    <w:p w14:paraId="1253C057" w14:textId="004294B4"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t>In 2015, the United Nations has stablished 17 Sustainable Development Goals (SDGs) which are the main basis for a set of targets to shape development agenda in the term 2015-2030. SDG 17 aims to strengthen the means of implementation and revitalize the global partnership for sustainable development; some of the targets are to enhance North-South, South-South and triangular regional and international cooperation on and access to science, technology and innovation, and enhance knowledge sharing on mutually agreed terms, among others (UNITED</w:t>
      </w:r>
      <w:r w:rsidR="00B67091">
        <w:rPr>
          <w:rFonts w:ascii="Arial" w:hAnsi="Arial" w:cs="Arial"/>
          <w:sz w:val="22"/>
          <w:szCs w:val="22"/>
          <w:lang w:val="en-GB"/>
        </w:rPr>
        <w:t>…</w:t>
      </w:r>
      <w:r w:rsidRPr="00E058F8">
        <w:rPr>
          <w:rFonts w:ascii="Arial" w:hAnsi="Arial" w:cs="Arial"/>
          <w:sz w:val="22"/>
          <w:szCs w:val="22"/>
          <w:lang w:val="en-GB"/>
        </w:rPr>
        <w:t>, 2015, p. 1, 26).</w:t>
      </w:r>
    </w:p>
    <w:p w14:paraId="32068EC5" w14:textId="77777777" w:rsidR="00227257" w:rsidRPr="00E058F8" w:rsidRDefault="00227257" w:rsidP="00227257">
      <w:pPr>
        <w:spacing w:line="360" w:lineRule="auto"/>
        <w:ind w:firstLine="708"/>
        <w:jc w:val="both"/>
        <w:rPr>
          <w:rFonts w:ascii="Arial" w:hAnsi="Arial" w:cs="Arial"/>
          <w:sz w:val="22"/>
          <w:szCs w:val="22"/>
          <w:lang w:val="en-GB"/>
        </w:rPr>
      </w:pPr>
      <w:r w:rsidRPr="00E058F8">
        <w:rPr>
          <w:rFonts w:ascii="Arial" w:hAnsi="Arial" w:cs="Arial"/>
          <w:sz w:val="22"/>
          <w:szCs w:val="22"/>
          <w:lang w:val="en-GB"/>
        </w:rPr>
        <w:lastRenderedPageBreak/>
        <w:t>Keeping in mind the necessity to foster sustainable development, we expect at the end of this study to be able to identify and analyse the transaction costs arising from international academy-industry alliances, in order to minimize them and foster these global partnerships, lowering international inequalities.</w:t>
      </w:r>
    </w:p>
    <w:p w14:paraId="409FD8C8" w14:textId="77777777" w:rsidR="00227257" w:rsidRPr="00E058F8" w:rsidRDefault="00227257" w:rsidP="00227257">
      <w:pPr>
        <w:spacing w:line="360" w:lineRule="auto"/>
        <w:jc w:val="both"/>
        <w:rPr>
          <w:rFonts w:ascii="Arial" w:hAnsi="Arial" w:cs="Arial"/>
          <w:sz w:val="22"/>
          <w:szCs w:val="22"/>
          <w:lang w:val="en-GB"/>
        </w:rPr>
      </w:pPr>
    </w:p>
    <w:p w14:paraId="4F4C59DB" w14:textId="77777777" w:rsidR="00227257" w:rsidRPr="00E058F8" w:rsidRDefault="00227257" w:rsidP="00227257">
      <w:pPr>
        <w:jc w:val="both"/>
        <w:rPr>
          <w:rFonts w:ascii="Arial" w:hAnsi="Arial" w:cs="Arial"/>
          <w:b/>
          <w:sz w:val="22"/>
          <w:szCs w:val="22"/>
          <w:lang w:val="en-GB"/>
        </w:rPr>
      </w:pPr>
      <w:r w:rsidRPr="00E058F8">
        <w:rPr>
          <w:rFonts w:ascii="Arial" w:hAnsi="Arial" w:cs="Arial"/>
          <w:b/>
          <w:sz w:val="22"/>
          <w:szCs w:val="22"/>
          <w:lang w:val="en-GB"/>
        </w:rPr>
        <w:t>5 References</w:t>
      </w:r>
    </w:p>
    <w:p w14:paraId="3F20014C" w14:textId="1BF4BADC" w:rsidR="00227257" w:rsidRPr="00E058F8" w:rsidRDefault="00227257" w:rsidP="00227257">
      <w:pPr>
        <w:jc w:val="both"/>
        <w:rPr>
          <w:rFonts w:ascii="Arial" w:hAnsi="Arial" w:cs="Arial"/>
          <w:sz w:val="22"/>
          <w:szCs w:val="22"/>
          <w:lang w:val="en-US"/>
        </w:rPr>
      </w:pPr>
      <w:r w:rsidRPr="00E058F8">
        <w:rPr>
          <w:rFonts w:ascii="Arial" w:hAnsi="Arial" w:cs="Arial"/>
          <w:sz w:val="22"/>
          <w:szCs w:val="22"/>
          <w:lang w:val="en-US"/>
        </w:rPr>
        <w:t xml:space="preserve">BOZEMAN, B. Technology transfer and public policy: a review of research and theory. </w:t>
      </w:r>
      <w:r w:rsidRPr="00E058F8">
        <w:rPr>
          <w:rFonts w:ascii="Arial" w:hAnsi="Arial" w:cs="Arial"/>
          <w:b/>
          <w:sz w:val="22"/>
          <w:szCs w:val="22"/>
          <w:lang w:val="en-US"/>
        </w:rPr>
        <w:t>Res</w:t>
      </w:r>
      <w:r w:rsidR="00DE1C00" w:rsidRPr="00E058F8">
        <w:rPr>
          <w:rFonts w:ascii="Arial" w:hAnsi="Arial" w:cs="Arial"/>
          <w:b/>
          <w:sz w:val="22"/>
          <w:szCs w:val="22"/>
          <w:lang w:val="en-US"/>
        </w:rPr>
        <w:t>.</w:t>
      </w:r>
      <w:r w:rsidRPr="00E058F8">
        <w:rPr>
          <w:rFonts w:ascii="Arial" w:hAnsi="Arial" w:cs="Arial"/>
          <w:b/>
          <w:sz w:val="22"/>
          <w:szCs w:val="22"/>
          <w:lang w:val="en-US"/>
        </w:rPr>
        <w:t xml:space="preserve"> Pol</w:t>
      </w:r>
      <w:r w:rsidR="00DE1C00" w:rsidRPr="00E058F8">
        <w:rPr>
          <w:rFonts w:ascii="Arial" w:hAnsi="Arial" w:cs="Arial"/>
          <w:b/>
          <w:sz w:val="22"/>
          <w:szCs w:val="22"/>
          <w:lang w:val="en-US"/>
        </w:rPr>
        <w:t>.</w:t>
      </w:r>
      <w:r w:rsidRPr="00E058F8">
        <w:rPr>
          <w:rFonts w:ascii="Arial" w:hAnsi="Arial" w:cs="Arial"/>
          <w:sz w:val="22"/>
          <w:szCs w:val="22"/>
          <w:lang w:val="en-US"/>
        </w:rPr>
        <w:t xml:space="preserve"> 29</w:t>
      </w:r>
      <w:r w:rsidR="00DE1C00" w:rsidRPr="00E058F8">
        <w:rPr>
          <w:rFonts w:ascii="Arial" w:hAnsi="Arial" w:cs="Arial"/>
          <w:sz w:val="22"/>
          <w:szCs w:val="22"/>
          <w:lang w:val="en-US"/>
        </w:rPr>
        <w:t xml:space="preserve"> (2015)</w:t>
      </w:r>
      <w:r w:rsidRPr="00E058F8">
        <w:rPr>
          <w:rFonts w:ascii="Arial" w:hAnsi="Arial" w:cs="Arial"/>
          <w:sz w:val="22"/>
          <w:szCs w:val="22"/>
          <w:lang w:val="en-US"/>
        </w:rPr>
        <w:t xml:space="preserve"> 627-655.</w:t>
      </w:r>
    </w:p>
    <w:p w14:paraId="49DE992D" w14:textId="7E2313D2" w:rsidR="00227257" w:rsidRPr="00E058F8" w:rsidRDefault="00227257" w:rsidP="00227257">
      <w:pPr>
        <w:jc w:val="both"/>
        <w:rPr>
          <w:rFonts w:ascii="Arial" w:hAnsi="Arial" w:cs="Arial"/>
          <w:sz w:val="22"/>
          <w:szCs w:val="22"/>
          <w:lang w:val="en-GB"/>
        </w:rPr>
      </w:pPr>
      <w:r w:rsidRPr="00E058F8">
        <w:rPr>
          <w:rFonts w:ascii="Arial" w:hAnsi="Arial" w:cs="Arial"/>
          <w:sz w:val="22"/>
          <w:szCs w:val="22"/>
          <w:lang w:val="en-GB"/>
        </w:rPr>
        <w:t xml:space="preserve">CALOGHIROU, Y., IOANNIDES, S. AND VONORTAS, N. S. (2003), Research Joint Ventures. </w:t>
      </w:r>
      <w:r w:rsidRPr="00E058F8">
        <w:rPr>
          <w:rFonts w:ascii="Arial" w:hAnsi="Arial" w:cs="Arial"/>
          <w:b/>
          <w:sz w:val="22"/>
          <w:szCs w:val="22"/>
          <w:lang w:val="en-GB"/>
        </w:rPr>
        <w:t>J. Economic Surveys</w:t>
      </w:r>
      <w:r w:rsidR="00DE1C00" w:rsidRPr="00E058F8">
        <w:rPr>
          <w:rFonts w:ascii="Arial" w:hAnsi="Arial" w:cs="Arial"/>
          <w:sz w:val="22"/>
          <w:szCs w:val="22"/>
          <w:lang w:val="en-GB"/>
        </w:rPr>
        <w:t>, 17: 541–570.</w:t>
      </w:r>
    </w:p>
    <w:p w14:paraId="7BA721A5" w14:textId="77777777" w:rsidR="00227257" w:rsidRPr="00E058F8" w:rsidRDefault="00227257" w:rsidP="00227257">
      <w:pPr>
        <w:jc w:val="both"/>
        <w:rPr>
          <w:rFonts w:ascii="Arial" w:hAnsi="Arial" w:cs="Arial"/>
          <w:sz w:val="22"/>
          <w:szCs w:val="22"/>
          <w:lang w:val="en-GB"/>
        </w:rPr>
      </w:pPr>
      <w:r w:rsidRPr="00E058F8">
        <w:rPr>
          <w:rFonts w:ascii="Arial" w:hAnsi="Arial" w:cs="Arial"/>
          <w:sz w:val="22"/>
          <w:szCs w:val="22"/>
          <w:lang w:val="en-GB"/>
        </w:rPr>
        <w:t xml:space="preserve">CHESBROUGH, H., 2003. </w:t>
      </w:r>
      <w:r w:rsidRPr="00E058F8">
        <w:rPr>
          <w:rFonts w:ascii="Arial" w:hAnsi="Arial" w:cs="Arial"/>
          <w:b/>
          <w:sz w:val="22"/>
          <w:szCs w:val="22"/>
          <w:lang w:val="en-GB"/>
        </w:rPr>
        <w:t>Open Innovation</w:t>
      </w:r>
      <w:r w:rsidRPr="00E058F8">
        <w:rPr>
          <w:rFonts w:ascii="Arial" w:hAnsi="Arial" w:cs="Arial"/>
          <w:sz w:val="22"/>
          <w:szCs w:val="22"/>
          <w:lang w:val="en-GB"/>
        </w:rPr>
        <w:t xml:space="preserve">: The New Imperative for Creating and Profiting from Technology. </w:t>
      </w:r>
      <w:proofErr w:type="gramStart"/>
      <w:r w:rsidRPr="00E058F8">
        <w:rPr>
          <w:rFonts w:ascii="Arial" w:hAnsi="Arial" w:cs="Arial"/>
          <w:sz w:val="22"/>
          <w:szCs w:val="22"/>
          <w:lang w:val="en-GB"/>
        </w:rPr>
        <w:t>Harvard Business School Press, Boston, MA.</w:t>
      </w:r>
      <w:proofErr w:type="gramEnd"/>
    </w:p>
    <w:p w14:paraId="55C2B006" w14:textId="77777777" w:rsidR="00227257" w:rsidRPr="00E058F8" w:rsidRDefault="00227257" w:rsidP="00227257">
      <w:pPr>
        <w:jc w:val="both"/>
        <w:rPr>
          <w:rFonts w:ascii="Arial" w:hAnsi="Arial" w:cs="Arial"/>
          <w:sz w:val="22"/>
          <w:szCs w:val="22"/>
          <w:lang w:val="en-GB"/>
        </w:rPr>
      </w:pPr>
      <w:proofErr w:type="gramStart"/>
      <w:r w:rsidRPr="00E058F8">
        <w:rPr>
          <w:rFonts w:ascii="Arial" w:hAnsi="Arial" w:cs="Arial"/>
          <w:sz w:val="22"/>
          <w:szCs w:val="22"/>
          <w:lang w:val="en-GB"/>
        </w:rPr>
        <w:t xml:space="preserve">COASE, R. H. (1937) </w:t>
      </w:r>
      <w:r w:rsidRPr="00E058F8">
        <w:rPr>
          <w:rFonts w:ascii="Arial" w:hAnsi="Arial" w:cs="Arial"/>
          <w:b/>
          <w:sz w:val="22"/>
          <w:szCs w:val="22"/>
          <w:lang w:val="en-GB"/>
        </w:rPr>
        <w:t xml:space="preserve">La Nature de la </w:t>
      </w:r>
      <w:proofErr w:type="spellStart"/>
      <w:r w:rsidRPr="00E058F8">
        <w:rPr>
          <w:rFonts w:ascii="Arial" w:hAnsi="Arial" w:cs="Arial"/>
          <w:b/>
          <w:sz w:val="22"/>
          <w:szCs w:val="22"/>
          <w:lang w:val="en-GB"/>
        </w:rPr>
        <w:t>firme</w:t>
      </w:r>
      <w:proofErr w:type="spellEnd"/>
      <w:r w:rsidRPr="00E058F8">
        <w:rPr>
          <w:rFonts w:ascii="Arial" w:hAnsi="Arial" w:cs="Arial"/>
          <w:sz w:val="22"/>
          <w:szCs w:val="22"/>
          <w:lang w:val="en-GB"/>
        </w:rPr>
        <w:t>.</w:t>
      </w:r>
      <w:proofErr w:type="gramEnd"/>
      <w:r w:rsidRPr="00E058F8">
        <w:rPr>
          <w:rFonts w:ascii="Arial" w:hAnsi="Arial" w:cs="Arial"/>
          <w:sz w:val="22"/>
          <w:szCs w:val="22"/>
          <w:lang w:val="en-GB"/>
        </w:rPr>
        <w:t xml:space="preserve"> </w:t>
      </w:r>
      <w:proofErr w:type="spellStart"/>
      <w:r w:rsidRPr="00E058F8">
        <w:rPr>
          <w:rFonts w:ascii="Arial" w:hAnsi="Arial" w:cs="Arial"/>
          <w:sz w:val="22"/>
          <w:szCs w:val="22"/>
          <w:lang w:val="en-US"/>
        </w:rPr>
        <w:t>Encyclopaedia</w:t>
      </w:r>
      <w:proofErr w:type="spellEnd"/>
      <w:r w:rsidRPr="00E058F8">
        <w:rPr>
          <w:rFonts w:ascii="Arial" w:hAnsi="Arial" w:cs="Arial"/>
          <w:sz w:val="22"/>
          <w:szCs w:val="22"/>
          <w:lang w:val="en-US"/>
        </w:rPr>
        <w:t xml:space="preserve"> </w:t>
      </w:r>
      <w:proofErr w:type="spellStart"/>
      <w:r w:rsidRPr="00E058F8">
        <w:rPr>
          <w:rFonts w:ascii="Arial" w:hAnsi="Arial" w:cs="Arial"/>
          <w:sz w:val="22"/>
          <w:szCs w:val="22"/>
          <w:lang w:val="en-US"/>
        </w:rPr>
        <w:t>Universalis</w:t>
      </w:r>
      <w:proofErr w:type="spellEnd"/>
      <w:r w:rsidRPr="00E058F8">
        <w:rPr>
          <w:rFonts w:ascii="Arial" w:hAnsi="Arial" w:cs="Arial"/>
          <w:sz w:val="22"/>
          <w:szCs w:val="22"/>
          <w:lang w:val="en-US"/>
        </w:rPr>
        <w:t>; Kindle Ed., 2012.</w:t>
      </w:r>
    </w:p>
    <w:p w14:paraId="28E7C467" w14:textId="77777777" w:rsidR="00227257" w:rsidRPr="00E058F8" w:rsidRDefault="00227257" w:rsidP="00227257">
      <w:pPr>
        <w:jc w:val="both"/>
        <w:rPr>
          <w:rFonts w:ascii="Arial" w:hAnsi="Arial" w:cs="Arial"/>
          <w:sz w:val="22"/>
          <w:szCs w:val="22"/>
          <w:lang w:val="en-GB"/>
        </w:rPr>
      </w:pPr>
      <w:proofErr w:type="gramStart"/>
      <w:r w:rsidRPr="00E058F8">
        <w:rPr>
          <w:rFonts w:ascii="Arial" w:hAnsi="Arial" w:cs="Arial"/>
          <w:sz w:val="22"/>
          <w:szCs w:val="22"/>
          <w:lang w:val="en-GB"/>
        </w:rPr>
        <w:t>DAHLANDER, L.; GANN, D. M.</w:t>
      </w:r>
      <w:proofErr w:type="gramEnd"/>
      <w:r w:rsidRPr="00E058F8">
        <w:rPr>
          <w:rFonts w:ascii="Arial" w:hAnsi="Arial" w:cs="Arial"/>
          <w:sz w:val="22"/>
          <w:szCs w:val="22"/>
          <w:lang w:val="en-GB"/>
        </w:rPr>
        <w:t xml:space="preserve"> How open is innovation? </w:t>
      </w:r>
      <w:r w:rsidRPr="00E058F8">
        <w:rPr>
          <w:rFonts w:ascii="Arial" w:hAnsi="Arial" w:cs="Arial"/>
          <w:b/>
          <w:sz w:val="22"/>
          <w:szCs w:val="22"/>
          <w:lang w:val="en-GB"/>
        </w:rPr>
        <w:t>Res. Pol.</w:t>
      </w:r>
      <w:r w:rsidRPr="00E058F8">
        <w:rPr>
          <w:rFonts w:ascii="Arial" w:hAnsi="Arial" w:cs="Arial"/>
          <w:sz w:val="22"/>
          <w:szCs w:val="22"/>
          <w:lang w:val="en-GB"/>
        </w:rPr>
        <w:t xml:space="preserve"> 39 (2010) 699-709.</w:t>
      </w:r>
    </w:p>
    <w:p w14:paraId="5E665E4F" w14:textId="77777777" w:rsidR="00227257" w:rsidRPr="00E058F8" w:rsidRDefault="00227257" w:rsidP="00227257">
      <w:pPr>
        <w:jc w:val="both"/>
        <w:rPr>
          <w:rFonts w:ascii="Arial" w:hAnsi="Arial" w:cs="Arial"/>
          <w:sz w:val="22"/>
          <w:szCs w:val="22"/>
        </w:rPr>
      </w:pPr>
      <w:proofErr w:type="gramStart"/>
      <w:r w:rsidRPr="00E058F8">
        <w:rPr>
          <w:rFonts w:ascii="Arial" w:hAnsi="Arial" w:cs="Arial"/>
          <w:sz w:val="22"/>
          <w:szCs w:val="22"/>
          <w:lang w:val="en-US"/>
        </w:rPr>
        <w:t>ETZKOWITZ, H.; LEYDESDORFF, L.</w:t>
      </w:r>
      <w:proofErr w:type="gramEnd"/>
      <w:r w:rsidRPr="00E058F8">
        <w:rPr>
          <w:rFonts w:ascii="Arial" w:hAnsi="Arial" w:cs="Arial"/>
          <w:sz w:val="22"/>
          <w:szCs w:val="22"/>
          <w:lang w:val="en-US"/>
        </w:rPr>
        <w:t xml:space="preserve"> The dynamics of innovation: from National Systems and “Mode 2” to a Triple Helix of university-industry-government relations. </w:t>
      </w:r>
      <w:r w:rsidRPr="00E058F8">
        <w:rPr>
          <w:rFonts w:ascii="Arial" w:hAnsi="Arial" w:cs="Arial"/>
          <w:b/>
          <w:sz w:val="22"/>
          <w:szCs w:val="22"/>
        </w:rPr>
        <w:t>Res. Pol.</w:t>
      </w:r>
      <w:r w:rsidRPr="00E058F8">
        <w:rPr>
          <w:rFonts w:ascii="Arial" w:hAnsi="Arial" w:cs="Arial"/>
          <w:sz w:val="22"/>
          <w:szCs w:val="22"/>
        </w:rPr>
        <w:t xml:space="preserve"> 29, 2, (2000) pp. 109-123.</w:t>
      </w:r>
    </w:p>
    <w:p w14:paraId="183CF410" w14:textId="77777777" w:rsidR="00227257" w:rsidRPr="00E058F8" w:rsidRDefault="00227257" w:rsidP="00227257">
      <w:pPr>
        <w:jc w:val="both"/>
        <w:rPr>
          <w:rFonts w:ascii="Arial" w:hAnsi="Arial" w:cs="Arial"/>
          <w:sz w:val="22"/>
          <w:szCs w:val="22"/>
          <w:lang w:val="en-GB"/>
        </w:rPr>
      </w:pPr>
      <w:r w:rsidRPr="00E058F8">
        <w:rPr>
          <w:rFonts w:ascii="Arial" w:hAnsi="Arial" w:cs="Arial"/>
          <w:sz w:val="22"/>
          <w:szCs w:val="22"/>
        </w:rPr>
        <w:t xml:space="preserve">FLORES, C. </w:t>
      </w:r>
      <w:r w:rsidRPr="00E058F8">
        <w:rPr>
          <w:rFonts w:ascii="Arial" w:hAnsi="Arial" w:cs="Arial"/>
          <w:b/>
          <w:sz w:val="22"/>
          <w:szCs w:val="22"/>
        </w:rPr>
        <w:t>Segredo industrial e o know-how</w:t>
      </w:r>
      <w:r w:rsidRPr="00E058F8">
        <w:rPr>
          <w:rFonts w:ascii="Arial" w:hAnsi="Arial" w:cs="Arial"/>
          <w:sz w:val="22"/>
          <w:szCs w:val="22"/>
        </w:rPr>
        <w:t xml:space="preserve">: aspectos jurídicos internacionais. </w:t>
      </w:r>
      <w:r w:rsidRPr="00E058F8">
        <w:rPr>
          <w:rFonts w:ascii="Arial" w:hAnsi="Arial" w:cs="Arial"/>
          <w:sz w:val="22"/>
          <w:szCs w:val="22"/>
          <w:lang w:val="en-GB"/>
        </w:rPr>
        <w:t>Rio de Janeiro: Lumen Juris, 264 p., 2008.</w:t>
      </w:r>
    </w:p>
    <w:p w14:paraId="756BCAD9" w14:textId="77777777" w:rsidR="00227257" w:rsidRPr="00E058F8" w:rsidRDefault="00227257" w:rsidP="00227257">
      <w:pPr>
        <w:jc w:val="both"/>
        <w:rPr>
          <w:rFonts w:ascii="Arial" w:hAnsi="Arial" w:cs="Arial"/>
          <w:sz w:val="22"/>
          <w:szCs w:val="22"/>
          <w:lang w:val="en-GB"/>
        </w:rPr>
      </w:pPr>
      <w:r w:rsidRPr="00E058F8">
        <w:rPr>
          <w:rFonts w:ascii="Arial" w:hAnsi="Arial" w:cs="Arial"/>
          <w:sz w:val="22"/>
          <w:szCs w:val="22"/>
          <w:lang w:val="en-GB"/>
        </w:rPr>
        <w:t xml:space="preserve">KANG, N. AND K. SAKAI, “International Strategic Alliances: Their Role in Industrial Globalisation”, </w:t>
      </w:r>
      <w:r w:rsidRPr="00E058F8">
        <w:rPr>
          <w:rFonts w:ascii="Arial" w:hAnsi="Arial" w:cs="Arial"/>
          <w:b/>
          <w:sz w:val="22"/>
          <w:szCs w:val="22"/>
          <w:lang w:val="en-GB"/>
        </w:rPr>
        <w:t>OECD Science, Technology and Industry Working Papers</w:t>
      </w:r>
      <w:r w:rsidRPr="00E058F8">
        <w:rPr>
          <w:rFonts w:ascii="Arial" w:hAnsi="Arial" w:cs="Arial"/>
          <w:sz w:val="22"/>
          <w:szCs w:val="22"/>
          <w:lang w:val="en-GB"/>
        </w:rPr>
        <w:t>, 2000/05, OECD Publishing, Paris.</w:t>
      </w:r>
    </w:p>
    <w:p w14:paraId="4351DA26" w14:textId="77777777" w:rsidR="00227257" w:rsidRPr="00E058F8" w:rsidRDefault="00227257" w:rsidP="00227257">
      <w:pPr>
        <w:jc w:val="both"/>
        <w:rPr>
          <w:rFonts w:ascii="Arial" w:hAnsi="Arial" w:cs="Arial"/>
          <w:sz w:val="22"/>
          <w:szCs w:val="22"/>
          <w:lang w:val="en-US"/>
        </w:rPr>
      </w:pPr>
      <w:r w:rsidRPr="00E058F8">
        <w:rPr>
          <w:rFonts w:ascii="Arial" w:hAnsi="Arial" w:cs="Arial"/>
          <w:sz w:val="22"/>
          <w:szCs w:val="22"/>
          <w:lang w:val="en-US"/>
        </w:rPr>
        <w:t xml:space="preserve">KIRCHBERGER, M. A.; POHL, L. Technology commercialization: a literature review of success factors and antecedents across different contexts. </w:t>
      </w:r>
      <w:proofErr w:type="gramStart"/>
      <w:r w:rsidRPr="00E058F8">
        <w:rPr>
          <w:rFonts w:ascii="Arial" w:hAnsi="Arial" w:cs="Arial"/>
          <w:b/>
          <w:sz w:val="22"/>
          <w:szCs w:val="22"/>
          <w:lang w:val="en-US"/>
        </w:rPr>
        <w:t>J. Tech. Transf.</w:t>
      </w:r>
      <w:r w:rsidRPr="00E058F8">
        <w:rPr>
          <w:rFonts w:ascii="Arial" w:hAnsi="Arial" w:cs="Arial"/>
          <w:sz w:val="22"/>
          <w:szCs w:val="22"/>
          <w:lang w:val="en-US"/>
        </w:rPr>
        <w:t>, v. 41, p. 1077-1112, 2016.</w:t>
      </w:r>
      <w:proofErr w:type="gramEnd"/>
    </w:p>
    <w:p w14:paraId="362AAC43" w14:textId="77777777" w:rsidR="00227257" w:rsidRPr="00E058F8" w:rsidRDefault="00227257" w:rsidP="00227257">
      <w:pPr>
        <w:jc w:val="both"/>
        <w:rPr>
          <w:rFonts w:ascii="Arial" w:hAnsi="Arial" w:cs="Arial"/>
          <w:sz w:val="22"/>
          <w:szCs w:val="22"/>
          <w:lang w:val="en-GB"/>
        </w:rPr>
      </w:pPr>
      <w:proofErr w:type="gramStart"/>
      <w:r w:rsidRPr="00E058F8">
        <w:rPr>
          <w:rFonts w:ascii="Arial" w:hAnsi="Arial" w:cs="Arial"/>
          <w:sz w:val="22"/>
          <w:szCs w:val="22"/>
          <w:lang w:val="en-GB"/>
        </w:rPr>
        <w:t>LANDES, W. M.; POSNER, R. A.</w:t>
      </w:r>
      <w:proofErr w:type="gramEnd"/>
      <w:r w:rsidRPr="00E058F8">
        <w:rPr>
          <w:rFonts w:ascii="Arial" w:hAnsi="Arial" w:cs="Arial"/>
          <w:sz w:val="22"/>
          <w:szCs w:val="22"/>
          <w:lang w:val="en-GB"/>
        </w:rPr>
        <w:t xml:space="preserve"> </w:t>
      </w:r>
      <w:proofErr w:type="gramStart"/>
      <w:r w:rsidRPr="00E058F8">
        <w:rPr>
          <w:rFonts w:ascii="Arial" w:hAnsi="Arial" w:cs="Arial"/>
          <w:b/>
          <w:sz w:val="22"/>
          <w:szCs w:val="22"/>
          <w:lang w:val="en-GB"/>
        </w:rPr>
        <w:t>The economic structure of intellectual property law</w:t>
      </w:r>
      <w:r w:rsidRPr="00E058F8">
        <w:rPr>
          <w:rFonts w:ascii="Arial" w:hAnsi="Arial" w:cs="Arial"/>
          <w:sz w:val="22"/>
          <w:szCs w:val="22"/>
          <w:lang w:val="en-GB"/>
        </w:rPr>
        <w:t>.</w:t>
      </w:r>
      <w:proofErr w:type="gramEnd"/>
      <w:r w:rsidRPr="00E058F8">
        <w:rPr>
          <w:rFonts w:ascii="Arial" w:hAnsi="Arial" w:cs="Arial"/>
          <w:sz w:val="22"/>
          <w:szCs w:val="22"/>
          <w:lang w:val="en-GB"/>
        </w:rPr>
        <w:t xml:space="preserve"> </w:t>
      </w:r>
      <w:proofErr w:type="gramStart"/>
      <w:r w:rsidRPr="00E058F8">
        <w:rPr>
          <w:rFonts w:ascii="Arial" w:hAnsi="Arial" w:cs="Arial"/>
          <w:sz w:val="22"/>
          <w:szCs w:val="22"/>
          <w:lang w:val="en-GB"/>
        </w:rPr>
        <w:t>Harvard University Press, 2003.</w:t>
      </w:r>
      <w:proofErr w:type="gramEnd"/>
    </w:p>
    <w:p w14:paraId="1E1F529F" w14:textId="77777777" w:rsidR="00227257" w:rsidRPr="00E058F8" w:rsidRDefault="00227257" w:rsidP="00227257">
      <w:pPr>
        <w:jc w:val="both"/>
        <w:rPr>
          <w:rFonts w:ascii="Arial" w:hAnsi="Arial" w:cs="Arial"/>
          <w:sz w:val="22"/>
          <w:szCs w:val="22"/>
          <w:lang w:val="en-GB"/>
        </w:rPr>
      </w:pPr>
      <w:r w:rsidRPr="00E058F8">
        <w:rPr>
          <w:rFonts w:ascii="Arial" w:hAnsi="Arial" w:cs="Arial"/>
          <w:sz w:val="22"/>
          <w:szCs w:val="22"/>
          <w:lang w:val="en-US"/>
        </w:rPr>
        <w:t xml:space="preserve">MALIK, T. H. National institutional differences and cross-border university-industry knowledge transfer. </w:t>
      </w:r>
      <w:proofErr w:type="gramStart"/>
      <w:r w:rsidRPr="00E058F8">
        <w:rPr>
          <w:rFonts w:ascii="Arial" w:hAnsi="Arial" w:cs="Arial"/>
          <w:b/>
          <w:sz w:val="22"/>
          <w:szCs w:val="22"/>
          <w:lang w:val="en-US"/>
        </w:rPr>
        <w:t>Res. Pol.</w:t>
      </w:r>
      <w:r w:rsidRPr="00E058F8">
        <w:rPr>
          <w:rFonts w:ascii="Arial" w:hAnsi="Arial" w:cs="Arial"/>
          <w:sz w:val="22"/>
          <w:szCs w:val="22"/>
          <w:lang w:val="en-US"/>
        </w:rPr>
        <w:t>, v. 42, p. 76-787, 2013.</w:t>
      </w:r>
      <w:proofErr w:type="gramEnd"/>
    </w:p>
    <w:p w14:paraId="32B14DCB" w14:textId="77777777" w:rsidR="00227257" w:rsidRPr="00E058F8" w:rsidRDefault="00227257" w:rsidP="00227257">
      <w:pPr>
        <w:jc w:val="both"/>
        <w:rPr>
          <w:rFonts w:ascii="Arial" w:hAnsi="Arial" w:cs="Arial"/>
          <w:sz w:val="22"/>
          <w:szCs w:val="22"/>
          <w:lang w:val="en-GB"/>
        </w:rPr>
      </w:pPr>
      <w:r w:rsidRPr="00E058F8">
        <w:rPr>
          <w:rFonts w:ascii="Arial" w:hAnsi="Arial" w:cs="Arial"/>
          <w:sz w:val="22"/>
          <w:szCs w:val="22"/>
          <w:lang w:val="en-GB"/>
        </w:rPr>
        <w:t xml:space="preserve">MORANDI, V. The management of industry-university joint research projects: how do partners coordinate and control R&amp;D activities? </w:t>
      </w:r>
      <w:proofErr w:type="gramStart"/>
      <w:r w:rsidRPr="00E058F8">
        <w:rPr>
          <w:rFonts w:ascii="Arial" w:hAnsi="Arial" w:cs="Arial"/>
          <w:b/>
          <w:sz w:val="22"/>
          <w:szCs w:val="22"/>
          <w:lang w:val="en-GB"/>
        </w:rPr>
        <w:t>J. Tech. Transf.</w:t>
      </w:r>
      <w:r w:rsidRPr="00E058F8">
        <w:rPr>
          <w:rFonts w:ascii="Arial" w:hAnsi="Arial" w:cs="Arial"/>
          <w:sz w:val="22"/>
          <w:szCs w:val="22"/>
          <w:lang w:val="en-GB"/>
        </w:rPr>
        <w:t xml:space="preserve"> (2013) 37: 69-92.</w:t>
      </w:r>
      <w:proofErr w:type="gramEnd"/>
      <w:r w:rsidRPr="00E058F8">
        <w:rPr>
          <w:rFonts w:ascii="Arial" w:hAnsi="Arial" w:cs="Arial"/>
          <w:sz w:val="22"/>
          <w:szCs w:val="22"/>
          <w:lang w:val="en-GB"/>
        </w:rPr>
        <w:t xml:space="preserve"> DOI 10.1007/s10961-011-9228-5</w:t>
      </w:r>
    </w:p>
    <w:p w14:paraId="570228C8" w14:textId="77777777" w:rsidR="00227257" w:rsidRPr="00E058F8" w:rsidRDefault="00227257" w:rsidP="00227257">
      <w:pPr>
        <w:jc w:val="both"/>
        <w:rPr>
          <w:rFonts w:ascii="Arial" w:hAnsi="Arial" w:cs="Arial"/>
          <w:bCs/>
          <w:sz w:val="22"/>
          <w:szCs w:val="22"/>
          <w:lang w:val="en-GB"/>
        </w:rPr>
      </w:pPr>
      <w:r w:rsidRPr="00E058F8">
        <w:rPr>
          <w:rFonts w:ascii="Arial" w:hAnsi="Arial" w:cs="Arial"/>
          <w:bCs/>
          <w:sz w:val="22"/>
          <w:szCs w:val="22"/>
          <w:lang w:val="en-US"/>
        </w:rPr>
        <w:t xml:space="preserve">REDDY, N. M.; ZHAO, L. International technology transfer: a review. </w:t>
      </w:r>
      <w:proofErr w:type="gramStart"/>
      <w:r w:rsidRPr="00E058F8">
        <w:rPr>
          <w:rFonts w:ascii="Arial" w:hAnsi="Arial" w:cs="Arial"/>
          <w:b/>
          <w:bCs/>
          <w:sz w:val="22"/>
          <w:szCs w:val="22"/>
          <w:lang w:val="en-GB"/>
        </w:rPr>
        <w:t>Res. Pol.</w:t>
      </w:r>
      <w:r w:rsidRPr="00E058F8">
        <w:rPr>
          <w:rFonts w:ascii="Arial" w:hAnsi="Arial" w:cs="Arial"/>
          <w:bCs/>
          <w:sz w:val="22"/>
          <w:szCs w:val="22"/>
          <w:lang w:val="en-GB"/>
        </w:rPr>
        <w:t>, v. 19, p. 285-307, 1990.</w:t>
      </w:r>
      <w:proofErr w:type="gramEnd"/>
    </w:p>
    <w:p w14:paraId="08E357CD" w14:textId="77777777" w:rsidR="00227257" w:rsidRPr="00E058F8" w:rsidRDefault="00227257" w:rsidP="00227257">
      <w:pPr>
        <w:autoSpaceDE w:val="0"/>
        <w:autoSpaceDN w:val="0"/>
        <w:adjustRightInd w:val="0"/>
        <w:jc w:val="both"/>
        <w:rPr>
          <w:rFonts w:ascii="Arial" w:eastAsia="AdvTimes" w:hAnsi="Arial" w:cs="Arial"/>
          <w:sz w:val="22"/>
          <w:szCs w:val="22"/>
          <w:lang w:val="en-GB"/>
        </w:rPr>
      </w:pPr>
      <w:r w:rsidRPr="00E058F8">
        <w:rPr>
          <w:rFonts w:ascii="Arial" w:eastAsia="AdvTimes" w:hAnsi="Arial" w:cs="Arial"/>
          <w:sz w:val="22"/>
          <w:szCs w:val="22"/>
          <w:lang w:val="en-GB"/>
        </w:rPr>
        <w:t xml:space="preserve">TEECE, D. J. (1992) Competition, cooperation, and innovation: Organizational arrangements for regimes of rapid technological progress, </w:t>
      </w:r>
      <w:r w:rsidRPr="00E058F8">
        <w:rPr>
          <w:rFonts w:ascii="Arial" w:eastAsia="AdvTimes" w:hAnsi="Arial" w:cs="Arial"/>
          <w:b/>
          <w:sz w:val="22"/>
          <w:szCs w:val="22"/>
          <w:lang w:val="en-GB"/>
        </w:rPr>
        <w:t>J. Economic Behaviour and Organization</w:t>
      </w:r>
      <w:r w:rsidRPr="00E058F8">
        <w:rPr>
          <w:rFonts w:ascii="Arial" w:eastAsia="AdvTimes" w:hAnsi="Arial" w:cs="Arial"/>
          <w:sz w:val="22"/>
          <w:szCs w:val="22"/>
          <w:lang w:val="en-GB"/>
        </w:rPr>
        <w:t>, 18: 1–25.</w:t>
      </w:r>
    </w:p>
    <w:p w14:paraId="14AC1078" w14:textId="0367F0D0" w:rsidR="00227257" w:rsidRPr="00E058F8" w:rsidRDefault="00227257" w:rsidP="00227257">
      <w:pPr>
        <w:autoSpaceDE w:val="0"/>
        <w:autoSpaceDN w:val="0"/>
        <w:adjustRightInd w:val="0"/>
        <w:jc w:val="both"/>
        <w:rPr>
          <w:rFonts w:ascii="Arial" w:eastAsia="AdvTimes" w:hAnsi="Arial" w:cs="Arial"/>
          <w:sz w:val="22"/>
          <w:szCs w:val="22"/>
          <w:lang w:val="en-GB"/>
        </w:rPr>
      </w:pPr>
      <w:proofErr w:type="gramStart"/>
      <w:r w:rsidRPr="00E058F8">
        <w:rPr>
          <w:rFonts w:ascii="Arial" w:eastAsia="AdvTimes" w:hAnsi="Arial" w:cs="Arial"/>
          <w:sz w:val="22"/>
          <w:szCs w:val="22"/>
          <w:lang w:val="en-GB"/>
        </w:rPr>
        <w:t>UNITED NATIONS</w:t>
      </w:r>
      <w:r w:rsidR="00B67091">
        <w:rPr>
          <w:rFonts w:ascii="Arial" w:eastAsia="AdvTimes" w:hAnsi="Arial" w:cs="Arial"/>
          <w:sz w:val="22"/>
          <w:szCs w:val="22"/>
          <w:lang w:val="en-GB"/>
        </w:rPr>
        <w:t>.</w:t>
      </w:r>
      <w:proofErr w:type="gramEnd"/>
      <w:r w:rsidRPr="00E058F8">
        <w:rPr>
          <w:rFonts w:ascii="Arial" w:eastAsia="AdvTimes" w:hAnsi="Arial" w:cs="Arial"/>
          <w:sz w:val="22"/>
          <w:szCs w:val="22"/>
          <w:lang w:val="en-GB"/>
        </w:rPr>
        <w:t xml:space="preserve"> </w:t>
      </w:r>
      <w:r w:rsidRPr="00E058F8">
        <w:rPr>
          <w:rFonts w:ascii="Arial" w:eastAsia="AdvTimes" w:hAnsi="Arial" w:cs="Arial"/>
          <w:b/>
          <w:sz w:val="22"/>
          <w:szCs w:val="22"/>
          <w:lang w:val="en-GB"/>
        </w:rPr>
        <w:t xml:space="preserve">Resolution adopted by the General assembly on 27 July 2012. </w:t>
      </w:r>
      <w:r w:rsidRPr="00E058F8">
        <w:rPr>
          <w:rFonts w:ascii="Arial" w:eastAsia="AdvTimes" w:hAnsi="Arial" w:cs="Arial"/>
          <w:sz w:val="22"/>
          <w:szCs w:val="22"/>
          <w:lang w:val="en-GB"/>
        </w:rPr>
        <w:t xml:space="preserve">The future we want. </w:t>
      </w:r>
      <w:proofErr w:type="gramStart"/>
      <w:r w:rsidRPr="00E058F8">
        <w:rPr>
          <w:rFonts w:ascii="Arial" w:eastAsia="AdvTimes" w:hAnsi="Arial" w:cs="Arial"/>
          <w:sz w:val="22"/>
          <w:szCs w:val="22"/>
          <w:lang w:val="en-GB"/>
        </w:rPr>
        <w:t>A/RES/66/288.</w:t>
      </w:r>
      <w:proofErr w:type="gramEnd"/>
    </w:p>
    <w:p w14:paraId="28007987" w14:textId="73DB2560" w:rsidR="00227257" w:rsidRPr="00E058F8" w:rsidRDefault="00B67091" w:rsidP="00227257">
      <w:pPr>
        <w:autoSpaceDE w:val="0"/>
        <w:autoSpaceDN w:val="0"/>
        <w:adjustRightInd w:val="0"/>
        <w:jc w:val="both"/>
        <w:rPr>
          <w:rFonts w:ascii="Arial" w:eastAsia="AdvTimes" w:hAnsi="Arial" w:cs="Arial"/>
          <w:sz w:val="22"/>
          <w:szCs w:val="22"/>
          <w:lang w:val="en-GB"/>
        </w:rPr>
      </w:pPr>
      <w:proofErr w:type="gramStart"/>
      <w:r w:rsidRPr="00E058F8">
        <w:rPr>
          <w:rFonts w:ascii="Arial" w:eastAsia="AdvTimes" w:hAnsi="Arial" w:cs="Arial"/>
          <w:sz w:val="22"/>
          <w:szCs w:val="22"/>
          <w:lang w:val="en-GB"/>
        </w:rPr>
        <w:t>UNITED NATIONS</w:t>
      </w:r>
      <w:r>
        <w:rPr>
          <w:rFonts w:ascii="Arial" w:eastAsia="AdvTimes" w:hAnsi="Arial" w:cs="Arial"/>
          <w:sz w:val="22"/>
          <w:szCs w:val="22"/>
          <w:lang w:val="en-GB"/>
        </w:rPr>
        <w:t>.</w:t>
      </w:r>
      <w:proofErr w:type="gramEnd"/>
      <w:r w:rsidR="00227257" w:rsidRPr="00E058F8">
        <w:rPr>
          <w:rFonts w:ascii="Arial" w:eastAsia="AdvTimes" w:hAnsi="Arial" w:cs="Arial"/>
          <w:sz w:val="22"/>
          <w:szCs w:val="22"/>
          <w:lang w:val="en-GB"/>
        </w:rPr>
        <w:t xml:space="preserve"> </w:t>
      </w:r>
      <w:r w:rsidR="00227257" w:rsidRPr="00E058F8">
        <w:rPr>
          <w:rFonts w:ascii="Arial" w:eastAsia="AdvTimes" w:hAnsi="Arial" w:cs="Arial"/>
          <w:b/>
          <w:sz w:val="22"/>
          <w:szCs w:val="22"/>
          <w:lang w:val="en-GB"/>
        </w:rPr>
        <w:t xml:space="preserve">Resolution adopted by the General assembly on 25 September 2015. </w:t>
      </w:r>
      <w:proofErr w:type="gramStart"/>
      <w:r w:rsidR="00227257" w:rsidRPr="00E058F8">
        <w:rPr>
          <w:rFonts w:ascii="Arial" w:eastAsia="AdvTimes" w:hAnsi="Arial" w:cs="Arial"/>
          <w:sz w:val="22"/>
          <w:szCs w:val="22"/>
          <w:lang w:val="en-GB"/>
        </w:rPr>
        <w:t>Transforming our world: the 2030 Agenda for Sustainable Development.</w:t>
      </w:r>
      <w:proofErr w:type="gramEnd"/>
      <w:r w:rsidR="00227257" w:rsidRPr="00E058F8">
        <w:rPr>
          <w:rFonts w:ascii="Arial" w:eastAsia="AdvTimes" w:hAnsi="Arial" w:cs="Arial"/>
          <w:sz w:val="22"/>
          <w:szCs w:val="22"/>
          <w:lang w:val="en-GB"/>
        </w:rPr>
        <w:t xml:space="preserve"> </w:t>
      </w:r>
      <w:proofErr w:type="gramStart"/>
      <w:r w:rsidR="00227257" w:rsidRPr="00E058F8">
        <w:rPr>
          <w:rFonts w:ascii="Arial" w:eastAsia="AdvTimes" w:hAnsi="Arial" w:cs="Arial"/>
          <w:sz w:val="22"/>
          <w:szCs w:val="22"/>
          <w:lang w:val="en-GB"/>
        </w:rPr>
        <w:t>A/RES/70/1.</w:t>
      </w:r>
      <w:proofErr w:type="gramEnd"/>
    </w:p>
    <w:p w14:paraId="3542F0C8" w14:textId="77777777" w:rsidR="00227257" w:rsidRPr="00E058F8" w:rsidRDefault="00227257" w:rsidP="00227257">
      <w:pPr>
        <w:jc w:val="both"/>
        <w:rPr>
          <w:rFonts w:ascii="Arial" w:hAnsi="Arial" w:cs="Arial"/>
          <w:sz w:val="22"/>
          <w:szCs w:val="22"/>
          <w:shd w:val="clear" w:color="auto" w:fill="FFFFFF"/>
          <w:lang w:val="en-US"/>
        </w:rPr>
      </w:pPr>
      <w:r w:rsidRPr="00E058F8">
        <w:rPr>
          <w:rFonts w:ascii="Arial" w:hAnsi="Arial" w:cs="Arial"/>
          <w:sz w:val="22"/>
          <w:szCs w:val="22"/>
          <w:shd w:val="clear" w:color="auto" w:fill="FFFFFF"/>
          <w:lang w:val="en-US"/>
        </w:rPr>
        <w:t xml:space="preserve">WILLIAMSON, O. E. </w:t>
      </w:r>
      <w:proofErr w:type="gramStart"/>
      <w:r w:rsidRPr="00E058F8">
        <w:rPr>
          <w:rFonts w:ascii="Arial" w:hAnsi="Arial" w:cs="Arial"/>
          <w:b/>
          <w:sz w:val="22"/>
          <w:szCs w:val="22"/>
          <w:shd w:val="clear" w:color="auto" w:fill="FFFFFF"/>
          <w:lang w:val="en-US"/>
        </w:rPr>
        <w:t>The economic institutions of capitalism</w:t>
      </w:r>
      <w:r w:rsidRPr="00E058F8">
        <w:rPr>
          <w:rFonts w:ascii="Arial" w:hAnsi="Arial" w:cs="Arial"/>
          <w:sz w:val="22"/>
          <w:szCs w:val="22"/>
          <w:shd w:val="clear" w:color="auto" w:fill="FFFFFF"/>
          <w:lang w:val="en-US"/>
        </w:rPr>
        <w:t>.</w:t>
      </w:r>
      <w:proofErr w:type="gramEnd"/>
      <w:r w:rsidRPr="00E058F8">
        <w:rPr>
          <w:rFonts w:ascii="Arial" w:hAnsi="Arial" w:cs="Arial"/>
          <w:sz w:val="22"/>
          <w:szCs w:val="22"/>
          <w:shd w:val="clear" w:color="auto" w:fill="FFFFFF"/>
          <w:lang w:val="en-US"/>
        </w:rPr>
        <w:t xml:space="preserve"> New York: Free Press, 450 p., 1985.</w:t>
      </w:r>
    </w:p>
    <w:p w14:paraId="3266A19B" w14:textId="2C28FE02" w:rsidR="00C36810" w:rsidRPr="00E058F8" w:rsidRDefault="00227257" w:rsidP="00227257">
      <w:pPr>
        <w:autoSpaceDE w:val="0"/>
        <w:autoSpaceDN w:val="0"/>
        <w:adjustRightInd w:val="0"/>
        <w:jc w:val="both"/>
        <w:rPr>
          <w:rFonts w:ascii="Arial" w:hAnsi="Arial" w:cs="Arial"/>
          <w:sz w:val="22"/>
          <w:szCs w:val="22"/>
          <w:lang w:val="en-GB"/>
        </w:rPr>
      </w:pPr>
      <w:proofErr w:type="gramStart"/>
      <w:r w:rsidRPr="00E058F8">
        <w:rPr>
          <w:rFonts w:ascii="Arial" w:hAnsi="Arial" w:cs="Arial"/>
          <w:sz w:val="22"/>
          <w:szCs w:val="22"/>
          <w:lang w:val="en-GB"/>
        </w:rPr>
        <w:t>WORLD INTELLECTUAL PROPERTY ORGANIZATION</w:t>
      </w:r>
      <w:r w:rsidR="00B67091">
        <w:rPr>
          <w:rFonts w:ascii="Arial" w:hAnsi="Arial" w:cs="Arial"/>
          <w:sz w:val="22"/>
          <w:szCs w:val="22"/>
          <w:lang w:val="en-GB"/>
        </w:rPr>
        <w:t>.</w:t>
      </w:r>
      <w:proofErr w:type="gramEnd"/>
      <w:r w:rsidRPr="00E058F8">
        <w:rPr>
          <w:rFonts w:ascii="Arial" w:hAnsi="Arial" w:cs="Arial"/>
          <w:sz w:val="22"/>
          <w:szCs w:val="22"/>
          <w:lang w:val="en-GB"/>
        </w:rPr>
        <w:t xml:space="preserve"> </w:t>
      </w:r>
      <w:proofErr w:type="gramStart"/>
      <w:r w:rsidRPr="00E058F8">
        <w:rPr>
          <w:rFonts w:ascii="Arial" w:hAnsi="Arial" w:cs="Arial"/>
          <w:b/>
          <w:sz w:val="22"/>
          <w:szCs w:val="22"/>
          <w:lang w:val="en-GB"/>
        </w:rPr>
        <w:t>Successful Technology Licensing</w:t>
      </w:r>
      <w:r w:rsidRPr="00E058F8">
        <w:rPr>
          <w:rFonts w:ascii="Arial" w:hAnsi="Arial" w:cs="Arial"/>
          <w:sz w:val="22"/>
          <w:szCs w:val="22"/>
          <w:lang w:val="en-GB"/>
        </w:rPr>
        <w:t>.</w:t>
      </w:r>
      <w:proofErr w:type="gramEnd"/>
      <w:r w:rsidRPr="00E058F8">
        <w:rPr>
          <w:rFonts w:ascii="Arial" w:hAnsi="Arial" w:cs="Arial"/>
          <w:sz w:val="22"/>
          <w:szCs w:val="22"/>
          <w:lang w:val="en-GB"/>
        </w:rPr>
        <w:t xml:space="preserve"> </w:t>
      </w:r>
      <w:proofErr w:type="gramStart"/>
      <w:r w:rsidRPr="00E058F8">
        <w:rPr>
          <w:rFonts w:ascii="Arial" w:hAnsi="Arial" w:cs="Arial"/>
          <w:sz w:val="22"/>
          <w:szCs w:val="22"/>
          <w:lang w:val="en-GB"/>
        </w:rPr>
        <w:t>2015, 66p.</w:t>
      </w:r>
      <w:proofErr w:type="gramEnd"/>
      <w:r w:rsidRPr="00E058F8">
        <w:rPr>
          <w:rFonts w:ascii="Arial" w:hAnsi="Arial" w:cs="Arial"/>
          <w:sz w:val="22"/>
          <w:szCs w:val="22"/>
          <w:lang w:val="en-GB"/>
        </w:rPr>
        <w:t xml:space="preserve"> </w:t>
      </w:r>
      <w:proofErr w:type="gramStart"/>
      <w:r w:rsidRPr="00E058F8">
        <w:rPr>
          <w:rFonts w:ascii="Arial" w:hAnsi="Arial" w:cs="Arial"/>
          <w:sz w:val="22"/>
          <w:szCs w:val="22"/>
          <w:lang w:val="en-GB"/>
        </w:rPr>
        <w:t>ISBN 978-92-805-2633-2.</w:t>
      </w:r>
      <w:proofErr w:type="gramEnd"/>
    </w:p>
    <w:sectPr w:rsidR="00C36810" w:rsidRPr="00E058F8" w:rsidSect="004B415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D7891" w14:textId="77777777" w:rsidR="0004347D" w:rsidRDefault="0004347D">
      <w:r>
        <w:separator/>
      </w:r>
    </w:p>
  </w:endnote>
  <w:endnote w:type="continuationSeparator" w:id="0">
    <w:p w14:paraId="4C60BBE8" w14:textId="77777777" w:rsidR="0004347D" w:rsidRDefault="0004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Times">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0071D" w14:textId="77777777" w:rsidR="008C5EA1" w:rsidRPr="00466891" w:rsidRDefault="008C5EA1" w:rsidP="008C5EA1">
    <w:pPr>
      <w:pStyle w:val="PagefooterIbersid"/>
      <w:rPr>
        <w:lang w:val="pt-BR"/>
      </w:rPr>
    </w:pPr>
    <w:r w:rsidRPr="00466891">
      <w:rPr>
        <w:lang w:val="pt-BR"/>
      </w:rPr>
      <w:t>Seminário Informação, Inovação e Sociedade</w:t>
    </w:r>
    <w:r>
      <w:rPr>
        <w:lang w:val="pt-BR"/>
      </w:rPr>
      <w:t xml:space="preserve"> </w:t>
    </w:r>
    <w:r w:rsidRPr="00466891">
      <w:rPr>
        <w:lang w:val="pt-BR"/>
      </w:rPr>
      <w:t xml:space="preserve">– </w:t>
    </w:r>
    <w:proofErr w:type="gramStart"/>
    <w:r w:rsidRPr="00466891">
      <w:rPr>
        <w:lang w:val="pt-BR"/>
      </w:rPr>
      <w:t>201</w:t>
    </w:r>
    <w:r>
      <w:rPr>
        <w:lang w:val="pt-BR"/>
      </w:rPr>
      <w:t>8</w:t>
    </w:r>
    <w:proofErr w:type="gramEnd"/>
  </w:p>
  <w:p w14:paraId="6AFDD1AE" w14:textId="77777777" w:rsidR="008C5EA1" w:rsidRPr="00466891" w:rsidRDefault="008C5EA1" w:rsidP="008C5EA1">
    <w:pPr>
      <w:pStyle w:val="PagefooterIbersid"/>
      <w:rPr>
        <w:lang w:val="pt-BR"/>
      </w:rPr>
    </w:pPr>
    <w:r w:rsidRPr="00466891">
      <w:rPr>
        <w:lang w:val="pt-BR"/>
      </w:rPr>
      <w:t>Universidade Federal de São Carlos</w:t>
    </w:r>
  </w:p>
  <w:p w14:paraId="1831ACB5" w14:textId="7C131264" w:rsidR="008C5EA1" w:rsidRPr="003D0AE6" w:rsidRDefault="008C5EA1" w:rsidP="008C5EA1">
    <w:pPr>
      <w:pStyle w:val="PagefooterIbersid"/>
      <w:rPr>
        <w:lang w:val="pt-BR"/>
      </w:rPr>
    </w:pPr>
    <w:r w:rsidRPr="00466891">
      <w:rPr>
        <w:lang w:val="pt-BR"/>
      </w:rPr>
      <w:t>São Carlos / SP / Brasil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C346" w14:textId="559E27AD" w:rsidR="00466891" w:rsidRPr="00466891" w:rsidRDefault="00466891" w:rsidP="00466891">
    <w:pPr>
      <w:pStyle w:val="PagefooterIbersid"/>
      <w:rPr>
        <w:lang w:val="pt-BR"/>
      </w:rPr>
    </w:pPr>
    <w:r w:rsidRPr="00466891">
      <w:rPr>
        <w:lang w:val="pt-BR"/>
      </w:rPr>
      <w:t>Seminário Informação, Inovação e Sociedade</w:t>
    </w:r>
    <w:r>
      <w:rPr>
        <w:lang w:val="pt-BR"/>
      </w:rPr>
      <w:t xml:space="preserve"> </w:t>
    </w:r>
    <w:r w:rsidRPr="00466891">
      <w:rPr>
        <w:lang w:val="pt-BR"/>
      </w:rPr>
      <w:t>– 201</w:t>
    </w:r>
    <w:r>
      <w:rPr>
        <w:lang w:val="pt-BR"/>
      </w:rPr>
      <w:t>8</w:t>
    </w:r>
  </w:p>
  <w:p w14:paraId="517F29EC" w14:textId="77777777" w:rsidR="00466891" w:rsidRPr="00466891" w:rsidRDefault="00466891" w:rsidP="00466891">
    <w:pPr>
      <w:pStyle w:val="PagefooterIbersid"/>
      <w:rPr>
        <w:lang w:val="pt-BR"/>
      </w:rPr>
    </w:pPr>
    <w:r w:rsidRPr="00466891">
      <w:rPr>
        <w:lang w:val="pt-BR"/>
      </w:rPr>
      <w:t>Universidade Federal de São Carlos</w:t>
    </w:r>
  </w:p>
  <w:p w14:paraId="6EEA48E7" w14:textId="2B8085D2" w:rsidR="00466891" w:rsidRPr="00466891" w:rsidRDefault="00466891" w:rsidP="00466891">
    <w:pPr>
      <w:pStyle w:val="PagefooterIbersid"/>
      <w:rPr>
        <w:lang w:val="pt-BR"/>
      </w:rPr>
    </w:pPr>
    <w:r w:rsidRPr="00466891">
      <w:rPr>
        <w:lang w:val="pt-BR"/>
      </w:rPr>
      <w:t>São Carlos / SP / Brasil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20963" w14:textId="77777777" w:rsidR="0004347D" w:rsidRDefault="0004347D">
      <w:r>
        <w:separator/>
      </w:r>
    </w:p>
  </w:footnote>
  <w:footnote w:type="continuationSeparator" w:id="0">
    <w:p w14:paraId="2333A88A" w14:textId="77777777" w:rsidR="0004347D" w:rsidRDefault="0004347D">
      <w:r>
        <w:continuationSeparator/>
      </w:r>
    </w:p>
  </w:footnote>
  <w:footnote w:id="1">
    <w:p w14:paraId="04877848" w14:textId="5AD7F9E4" w:rsidR="002C49A1" w:rsidRPr="009306E7" w:rsidRDefault="002C49A1" w:rsidP="008E0405">
      <w:pPr>
        <w:pStyle w:val="Textodenotaderodap"/>
        <w:spacing w:after="0"/>
        <w:rPr>
          <w:rFonts w:cs="Arial"/>
          <w:lang w:val="pt-BR"/>
        </w:rPr>
      </w:pPr>
      <w:r w:rsidRPr="003D5E3A">
        <w:rPr>
          <w:rStyle w:val="Refdenotaderodap"/>
          <w:rFonts w:cs="Arial"/>
        </w:rPr>
        <w:footnoteRef/>
      </w:r>
      <w:r w:rsidRPr="003D5E3A">
        <w:rPr>
          <w:rFonts w:cs="Arial"/>
        </w:rPr>
        <w:t xml:space="preserve"> </w:t>
      </w:r>
      <w:r w:rsidR="003D5E3A" w:rsidRPr="009306E7">
        <w:rPr>
          <w:rFonts w:cs="Arial"/>
          <w:lang w:val="pt-BR"/>
        </w:rPr>
        <w:t>Mestre em Engenharia de Materiais. Doutoranda junto ao Programa de Pós-Graduação em Ciência, Tecnologia e Sociedade da Universidade Federal de São Carlos. Contato: fabiolams@ufscar.br</w:t>
      </w:r>
    </w:p>
  </w:footnote>
  <w:footnote w:id="2">
    <w:p w14:paraId="5C1E1555" w14:textId="505E7972" w:rsidR="002C49A1" w:rsidRPr="009306E7" w:rsidRDefault="002C49A1" w:rsidP="002C49A1">
      <w:pPr>
        <w:pStyle w:val="Textodenotaderodap"/>
        <w:rPr>
          <w:lang w:val="pt-BR"/>
        </w:rPr>
      </w:pPr>
      <w:r w:rsidRPr="009306E7">
        <w:rPr>
          <w:rStyle w:val="Refdenotaderodap"/>
          <w:rFonts w:cs="Arial"/>
          <w:lang w:val="pt-BR"/>
        </w:rPr>
        <w:footnoteRef/>
      </w:r>
      <w:r w:rsidRPr="009306E7">
        <w:rPr>
          <w:rFonts w:cs="Arial"/>
          <w:lang w:val="pt-BR"/>
        </w:rPr>
        <w:t xml:space="preserve"> </w:t>
      </w:r>
      <w:r w:rsidR="003D5E3A" w:rsidRPr="009306E7">
        <w:rPr>
          <w:rFonts w:cs="Arial"/>
          <w:lang w:val="pt-BR"/>
        </w:rPr>
        <w:t>Doutora em Ciência e Engenharia de Materiais. Docente da Universidade Federal de São Carlos, vinculada ao Departamento de Ciência da Informação. Docente permanente do Programa de Pós-Graduação em Ciência, Tecnologia e Sociedade. Contato: wanda@ufscar.br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2EC41" w14:textId="5F7C3DCA" w:rsidR="008C5EA1" w:rsidRDefault="00362062" w:rsidP="008C5EA1">
    <w:pPr>
      <w:pStyle w:val="Cabealho"/>
      <w:jc w:val="center"/>
    </w:pPr>
    <w:r>
      <w:rPr>
        <w:noProof/>
      </w:rPr>
      <w:drawing>
        <wp:inline distT="0" distB="0" distL="0" distR="0" wp14:anchorId="505BCC7E" wp14:editId="6CC0D609">
          <wp:extent cx="5976000" cy="80070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SITE.png"/>
                  <pic:cNvPicPr/>
                </pic:nvPicPr>
                <pic:blipFill>
                  <a:blip r:embed="rId1">
                    <a:extLst>
                      <a:ext uri="{28A0092B-C50C-407E-A947-70E740481C1C}">
                        <a14:useLocalDpi xmlns:a14="http://schemas.microsoft.com/office/drawing/2010/main" val="0"/>
                      </a:ext>
                    </a:extLst>
                  </a:blip>
                  <a:stretch>
                    <a:fillRect/>
                  </a:stretch>
                </pic:blipFill>
                <pic:spPr>
                  <a:xfrm>
                    <a:off x="0" y="0"/>
                    <a:ext cx="5976000" cy="8007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4DD"/>
    <w:multiLevelType w:val="multilevel"/>
    <w:tmpl w:val="D7403FC6"/>
    <w:lvl w:ilvl="0">
      <w:start w:val="1"/>
      <w:numFmt w:val="decimal"/>
      <w:pStyle w:val="Ttulo1"/>
      <w:suff w:val="space"/>
      <w:lvlText w:val="%1"/>
      <w:lvlJc w:val="left"/>
      <w:pPr>
        <w:ind w:left="227" w:hanging="227"/>
      </w:pPr>
      <w:rPr>
        <w:rFonts w:hint="default"/>
      </w:rPr>
    </w:lvl>
    <w:lvl w:ilvl="1">
      <w:start w:val="1"/>
      <w:numFmt w:val="decimal"/>
      <w:pStyle w:val="Ttulo2"/>
      <w:lvlText w:val="%1.%2"/>
      <w:lvlJc w:val="left"/>
      <w:pPr>
        <w:ind w:left="576" w:hanging="576"/>
      </w:pPr>
      <w:rPr>
        <w:rFonts w:hint="default"/>
      </w:rPr>
    </w:lvl>
    <w:lvl w:ilvl="2">
      <w:start w:val="1"/>
      <w:numFmt w:val="decimal"/>
      <w:pStyle w:val="Ttulo3"/>
      <w:suff w:val="space"/>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93558D3"/>
    <w:multiLevelType w:val="multilevel"/>
    <w:tmpl w:val="C7AA730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0FB83F92"/>
    <w:multiLevelType w:val="hybridMultilevel"/>
    <w:tmpl w:val="FC944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05620F"/>
    <w:multiLevelType w:val="hybridMultilevel"/>
    <w:tmpl w:val="2B303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F9C5C40"/>
    <w:multiLevelType w:val="hybridMultilevel"/>
    <w:tmpl w:val="977E3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8F1086"/>
    <w:multiLevelType w:val="multilevel"/>
    <w:tmpl w:val="F25E8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7E76875"/>
    <w:multiLevelType w:val="hybridMultilevel"/>
    <w:tmpl w:val="220A3E02"/>
    <w:lvl w:ilvl="0" w:tplc="250A5D3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6477E4"/>
    <w:multiLevelType w:val="multilevel"/>
    <w:tmpl w:val="86A4BFF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8">
    <w:nsid w:val="61E25796"/>
    <w:multiLevelType w:val="multilevel"/>
    <w:tmpl w:val="B9F2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BA0AE6"/>
    <w:multiLevelType w:val="hybridMultilevel"/>
    <w:tmpl w:val="8E46920C"/>
    <w:lvl w:ilvl="0" w:tplc="6E9015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8F55514"/>
    <w:multiLevelType w:val="hybridMultilevel"/>
    <w:tmpl w:val="8E12A9CE"/>
    <w:lvl w:ilvl="0" w:tplc="70D4EC58">
      <w:start w:val="1"/>
      <w:numFmt w:val="lowerLetter"/>
      <w:pStyle w:val="Alnea"/>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A505E89"/>
    <w:multiLevelType w:val="multilevel"/>
    <w:tmpl w:val="904A0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0"/>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9"/>
  </w:num>
  <w:num w:numId="8">
    <w:abstractNumId w:val="6"/>
  </w:num>
  <w:num w:numId="9">
    <w:abstractNumId w:val="0"/>
  </w:num>
  <w:num w:numId="10">
    <w:abstractNumId w:val="5"/>
  </w:num>
  <w:num w:numId="11">
    <w:abstractNumId w:val="0"/>
  </w:num>
  <w:num w:numId="12">
    <w:abstractNumId w:val="0"/>
  </w:num>
  <w:num w:numId="13">
    <w:abstractNumId w:val="2"/>
  </w:num>
  <w:num w:numId="14">
    <w:abstractNumId w:val="7"/>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98"/>
    <w:rsid w:val="00011FF0"/>
    <w:rsid w:val="0002664F"/>
    <w:rsid w:val="00041BD8"/>
    <w:rsid w:val="000433B7"/>
    <w:rsid w:val="0004347D"/>
    <w:rsid w:val="00050595"/>
    <w:rsid w:val="00057E7A"/>
    <w:rsid w:val="00074895"/>
    <w:rsid w:val="000E420F"/>
    <w:rsid w:val="000E5A47"/>
    <w:rsid w:val="000F069D"/>
    <w:rsid w:val="001C4C5E"/>
    <w:rsid w:val="001E3F42"/>
    <w:rsid w:val="00210049"/>
    <w:rsid w:val="002109AF"/>
    <w:rsid w:val="00211E0C"/>
    <w:rsid w:val="0021738E"/>
    <w:rsid w:val="00227257"/>
    <w:rsid w:val="0025780E"/>
    <w:rsid w:val="002A2462"/>
    <w:rsid w:val="002A7162"/>
    <w:rsid w:val="002C49A1"/>
    <w:rsid w:val="002D5A2D"/>
    <w:rsid w:val="003035F5"/>
    <w:rsid w:val="00351A5B"/>
    <w:rsid w:val="00362062"/>
    <w:rsid w:val="00372242"/>
    <w:rsid w:val="003A0880"/>
    <w:rsid w:val="003B157A"/>
    <w:rsid w:val="003C035D"/>
    <w:rsid w:val="003C3878"/>
    <w:rsid w:val="003C73C2"/>
    <w:rsid w:val="003D0AE6"/>
    <w:rsid w:val="003D5E3A"/>
    <w:rsid w:val="003E407E"/>
    <w:rsid w:val="003F0097"/>
    <w:rsid w:val="003F4ED6"/>
    <w:rsid w:val="00402002"/>
    <w:rsid w:val="00403962"/>
    <w:rsid w:val="00413E24"/>
    <w:rsid w:val="0043596F"/>
    <w:rsid w:val="00446FD9"/>
    <w:rsid w:val="00451385"/>
    <w:rsid w:val="004532C6"/>
    <w:rsid w:val="00466891"/>
    <w:rsid w:val="00472B3B"/>
    <w:rsid w:val="004C6A0C"/>
    <w:rsid w:val="004D07C7"/>
    <w:rsid w:val="004D4277"/>
    <w:rsid w:val="004E21EE"/>
    <w:rsid w:val="00507FB0"/>
    <w:rsid w:val="005260C9"/>
    <w:rsid w:val="00535CD7"/>
    <w:rsid w:val="00544771"/>
    <w:rsid w:val="0057787D"/>
    <w:rsid w:val="00585E21"/>
    <w:rsid w:val="005A51BF"/>
    <w:rsid w:val="005E3C51"/>
    <w:rsid w:val="00610EA4"/>
    <w:rsid w:val="0062025D"/>
    <w:rsid w:val="0062500F"/>
    <w:rsid w:val="00625AF2"/>
    <w:rsid w:val="00633165"/>
    <w:rsid w:val="00657C75"/>
    <w:rsid w:val="0068530B"/>
    <w:rsid w:val="006929A3"/>
    <w:rsid w:val="006E6536"/>
    <w:rsid w:val="006F3D67"/>
    <w:rsid w:val="00710CC8"/>
    <w:rsid w:val="0072361C"/>
    <w:rsid w:val="0072747D"/>
    <w:rsid w:val="007371FE"/>
    <w:rsid w:val="0074205F"/>
    <w:rsid w:val="007523B0"/>
    <w:rsid w:val="00764FED"/>
    <w:rsid w:val="007D01FC"/>
    <w:rsid w:val="007D14A7"/>
    <w:rsid w:val="007D6D0A"/>
    <w:rsid w:val="007E75A9"/>
    <w:rsid w:val="007F5BBE"/>
    <w:rsid w:val="00831ADF"/>
    <w:rsid w:val="00833713"/>
    <w:rsid w:val="00857E00"/>
    <w:rsid w:val="0086790B"/>
    <w:rsid w:val="008A00B6"/>
    <w:rsid w:val="008C5EA1"/>
    <w:rsid w:val="008D7E20"/>
    <w:rsid w:val="008E0405"/>
    <w:rsid w:val="008E6BD8"/>
    <w:rsid w:val="00904FC1"/>
    <w:rsid w:val="00917B1B"/>
    <w:rsid w:val="00926245"/>
    <w:rsid w:val="009306E7"/>
    <w:rsid w:val="00955642"/>
    <w:rsid w:val="0097120C"/>
    <w:rsid w:val="00993E33"/>
    <w:rsid w:val="009C185A"/>
    <w:rsid w:val="00A04A42"/>
    <w:rsid w:val="00A11E5D"/>
    <w:rsid w:val="00A64127"/>
    <w:rsid w:val="00A6556B"/>
    <w:rsid w:val="00A93AC5"/>
    <w:rsid w:val="00A94382"/>
    <w:rsid w:val="00AB38C9"/>
    <w:rsid w:val="00AC28BF"/>
    <w:rsid w:val="00AD014D"/>
    <w:rsid w:val="00AD2998"/>
    <w:rsid w:val="00AD7CA2"/>
    <w:rsid w:val="00AF284D"/>
    <w:rsid w:val="00AF4F19"/>
    <w:rsid w:val="00B42DF2"/>
    <w:rsid w:val="00B60EFE"/>
    <w:rsid w:val="00B67091"/>
    <w:rsid w:val="00BB0B57"/>
    <w:rsid w:val="00BC3C0D"/>
    <w:rsid w:val="00BD7434"/>
    <w:rsid w:val="00BE1ACE"/>
    <w:rsid w:val="00C01BF6"/>
    <w:rsid w:val="00C027EE"/>
    <w:rsid w:val="00C16E37"/>
    <w:rsid w:val="00C344C5"/>
    <w:rsid w:val="00C36810"/>
    <w:rsid w:val="00C43C6D"/>
    <w:rsid w:val="00C654B1"/>
    <w:rsid w:val="00C9132D"/>
    <w:rsid w:val="00C9793F"/>
    <w:rsid w:val="00C97E41"/>
    <w:rsid w:val="00CA2BB0"/>
    <w:rsid w:val="00CA421E"/>
    <w:rsid w:val="00CE5243"/>
    <w:rsid w:val="00D00F22"/>
    <w:rsid w:val="00D03662"/>
    <w:rsid w:val="00D17837"/>
    <w:rsid w:val="00D4512D"/>
    <w:rsid w:val="00D603F9"/>
    <w:rsid w:val="00DE1C00"/>
    <w:rsid w:val="00E03323"/>
    <w:rsid w:val="00E058F8"/>
    <w:rsid w:val="00E059D7"/>
    <w:rsid w:val="00E34755"/>
    <w:rsid w:val="00EE333F"/>
    <w:rsid w:val="00EE4C78"/>
    <w:rsid w:val="00F1648B"/>
    <w:rsid w:val="00F35BC4"/>
    <w:rsid w:val="00F41AF5"/>
    <w:rsid w:val="00F81E0D"/>
    <w:rsid w:val="00F8694B"/>
    <w:rsid w:val="00F95BE3"/>
    <w:rsid w:val="00FA60C9"/>
    <w:rsid w:val="00FE71B3"/>
    <w:rsid w:val="00FF4A75"/>
    <w:rsid w:val="00FF7B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rsid w:val="00351A5B"/>
  </w:style>
  <w:style w:type="paragraph" w:styleId="Ttulo1">
    <w:name w:val="heading 1"/>
    <w:aliases w:val="Secin"/>
    <w:basedOn w:val="Normal"/>
    <w:next w:val="Normal"/>
    <w:unhideWhenUsed/>
    <w:pPr>
      <w:keepNext/>
      <w:keepLines/>
      <w:numPr>
        <w:numId w:val="12"/>
      </w:numPr>
      <w:spacing w:before="480" w:after="120"/>
      <w:contextualSpacing/>
      <w:outlineLvl w:val="0"/>
    </w:pPr>
    <w:rPr>
      <w:b/>
      <w:sz w:val="48"/>
      <w:szCs w:val="48"/>
    </w:rPr>
  </w:style>
  <w:style w:type="paragraph" w:styleId="Ttulo2">
    <w:name w:val="heading 2"/>
    <w:basedOn w:val="Normal"/>
    <w:next w:val="Normal"/>
    <w:semiHidden/>
    <w:pPr>
      <w:keepNext/>
      <w:keepLines/>
      <w:numPr>
        <w:ilvl w:val="1"/>
        <w:numId w:val="1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1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paragraph" w:styleId="Subttulo">
    <w:name w:val="Subtitle"/>
    <w:basedOn w:val="Normal"/>
    <w:next w:val="Normal"/>
    <w:semiHidden/>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semiHidden/>
    <w:rsid w:val="00831ADF"/>
    <w:pPr>
      <w:tabs>
        <w:tab w:val="center" w:pos="4252"/>
        <w:tab w:val="right" w:pos="8504"/>
      </w:tabs>
    </w:pPr>
  </w:style>
  <w:style w:type="character" w:customStyle="1" w:styleId="RodapChar">
    <w:name w:val="Rodapé Char"/>
    <w:basedOn w:val="Fontepargpadro"/>
    <w:link w:val="Rodap"/>
    <w:uiPriority w:val="99"/>
    <w:semiHidden/>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widowControl w:val="0"/>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widowControl w:val="0"/>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widowControl w:val="0"/>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widowControl w:val="0"/>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widowControl w:val="0"/>
      <w:spacing w:before="240" w:after="360"/>
      <w:jc w:val="center"/>
    </w:pPr>
    <w:rPr>
      <w:rFonts w:ascii="Arial" w:eastAsia="Times New Roman" w:hAnsi="Arial" w:cs="Times New Roman"/>
      <w:b/>
      <w:caps/>
      <w:color w:val="auto"/>
      <w:szCs w:val="36"/>
    </w:rPr>
  </w:style>
  <w:style w:type="paragraph" w:styleId="SemEspaamento">
    <w:name w:val="No Spacing"/>
    <w:uiPriority w:val="1"/>
    <w:semiHidden/>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34"/>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widowControl w:val="0"/>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tion">
    <w:name w:val="Mention"/>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EE333F"/>
    <w:pPr>
      <w:spacing w:after="0" w:line="360" w:lineRule="auto"/>
      <w:ind w:firstLine="709"/>
      <w:contextualSpacing/>
      <w:jc w:val="both"/>
    </w:pPr>
    <w:rPr>
      <w:rFonts w:ascii="Times New Roman" w:eastAsia="Times New Roman" w:hAnsi="Times New Roman" w:cs="Times New Roman"/>
      <w:color w:val="auto"/>
      <w:spacing w:val="-2"/>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466891"/>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2C49A1"/>
    <w:rPr>
      <w:sz w:val="16"/>
      <w:szCs w:val="16"/>
    </w:rPr>
  </w:style>
  <w:style w:type="paragraph" w:styleId="Textodecomentrio">
    <w:name w:val="annotation text"/>
    <w:basedOn w:val="Normal"/>
    <w:link w:val="TextodecomentrioChar"/>
    <w:uiPriority w:val="99"/>
    <w:semiHidden/>
    <w:unhideWhenUsed/>
    <w:rsid w:val="002C49A1"/>
    <w:rPr>
      <w:sz w:val="20"/>
      <w:szCs w:val="20"/>
    </w:rPr>
  </w:style>
  <w:style w:type="character" w:customStyle="1" w:styleId="TextodecomentrioChar">
    <w:name w:val="Texto de comentário Char"/>
    <w:basedOn w:val="Fontepargpadro"/>
    <w:link w:val="Textodecomentrio"/>
    <w:uiPriority w:val="99"/>
    <w:semiHidden/>
    <w:rsid w:val="002C49A1"/>
    <w:rPr>
      <w:sz w:val="20"/>
      <w:szCs w:val="20"/>
    </w:rPr>
  </w:style>
  <w:style w:type="table" w:styleId="Tabelacomgrade">
    <w:name w:val="Table Grid"/>
    <w:basedOn w:val="Tabelanormal"/>
    <w:uiPriority w:val="59"/>
    <w:rsid w:val="0022725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rsid w:val="00351A5B"/>
  </w:style>
  <w:style w:type="paragraph" w:styleId="Ttulo1">
    <w:name w:val="heading 1"/>
    <w:aliases w:val="Secin"/>
    <w:basedOn w:val="Normal"/>
    <w:next w:val="Normal"/>
    <w:unhideWhenUsed/>
    <w:pPr>
      <w:keepNext/>
      <w:keepLines/>
      <w:numPr>
        <w:numId w:val="12"/>
      </w:numPr>
      <w:spacing w:before="480" w:after="120"/>
      <w:contextualSpacing/>
      <w:outlineLvl w:val="0"/>
    </w:pPr>
    <w:rPr>
      <w:b/>
      <w:sz w:val="48"/>
      <w:szCs w:val="48"/>
    </w:rPr>
  </w:style>
  <w:style w:type="paragraph" w:styleId="Ttulo2">
    <w:name w:val="heading 2"/>
    <w:basedOn w:val="Normal"/>
    <w:next w:val="Normal"/>
    <w:semiHidden/>
    <w:pPr>
      <w:keepNext/>
      <w:keepLines/>
      <w:numPr>
        <w:ilvl w:val="1"/>
        <w:numId w:val="1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1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paragraph" w:styleId="Subttulo">
    <w:name w:val="Subtitle"/>
    <w:basedOn w:val="Normal"/>
    <w:next w:val="Normal"/>
    <w:semiHidden/>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semiHidden/>
    <w:rsid w:val="00831ADF"/>
    <w:pPr>
      <w:tabs>
        <w:tab w:val="center" w:pos="4252"/>
        <w:tab w:val="right" w:pos="8504"/>
      </w:tabs>
    </w:pPr>
  </w:style>
  <w:style w:type="character" w:customStyle="1" w:styleId="RodapChar">
    <w:name w:val="Rodapé Char"/>
    <w:basedOn w:val="Fontepargpadro"/>
    <w:link w:val="Rodap"/>
    <w:uiPriority w:val="99"/>
    <w:semiHidden/>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widowControl w:val="0"/>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widowControl w:val="0"/>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widowControl w:val="0"/>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widowControl w:val="0"/>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widowControl w:val="0"/>
      <w:spacing w:before="240" w:after="360"/>
      <w:jc w:val="center"/>
    </w:pPr>
    <w:rPr>
      <w:rFonts w:ascii="Arial" w:eastAsia="Times New Roman" w:hAnsi="Arial" w:cs="Times New Roman"/>
      <w:b/>
      <w:caps/>
      <w:color w:val="auto"/>
      <w:szCs w:val="36"/>
    </w:rPr>
  </w:style>
  <w:style w:type="paragraph" w:styleId="SemEspaamento">
    <w:name w:val="No Spacing"/>
    <w:uiPriority w:val="1"/>
    <w:semiHidden/>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34"/>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widowControl w:val="0"/>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tion">
    <w:name w:val="Mention"/>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EE333F"/>
    <w:pPr>
      <w:spacing w:after="0" w:line="360" w:lineRule="auto"/>
      <w:ind w:firstLine="709"/>
      <w:contextualSpacing/>
      <w:jc w:val="both"/>
    </w:pPr>
    <w:rPr>
      <w:rFonts w:ascii="Times New Roman" w:eastAsia="Times New Roman" w:hAnsi="Times New Roman" w:cs="Times New Roman"/>
      <w:color w:val="auto"/>
      <w:spacing w:val="-2"/>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466891"/>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2C49A1"/>
    <w:rPr>
      <w:sz w:val="16"/>
      <w:szCs w:val="16"/>
    </w:rPr>
  </w:style>
  <w:style w:type="paragraph" w:styleId="Textodecomentrio">
    <w:name w:val="annotation text"/>
    <w:basedOn w:val="Normal"/>
    <w:link w:val="TextodecomentrioChar"/>
    <w:uiPriority w:val="99"/>
    <w:semiHidden/>
    <w:unhideWhenUsed/>
    <w:rsid w:val="002C49A1"/>
    <w:rPr>
      <w:sz w:val="20"/>
      <w:szCs w:val="20"/>
    </w:rPr>
  </w:style>
  <w:style w:type="character" w:customStyle="1" w:styleId="TextodecomentrioChar">
    <w:name w:val="Texto de comentário Char"/>
    <w:basedOn w:val="Fontepargpadro"/>
    <w:link w:val="Textodecomentrio"/>
    <w:uiPriority w:val="99"/>
    <w:semiHidden/>
    <w:rsid w:val="002C49A1"/>
    <w:rPr>
      <w:sz w:val="20"/>
      <w:szCs w:val="20"/>
    </w:rPr>
  </w:style>
  <w:style w:type="table" w:styleId="Tabelacomgrade">
    <w:name w:val="Table Grid"/>
    <w:basedOn w:val="Tabelanormal"/>
    <w:uiPriority w:val="59"/>
    <w:rsid w:val="0022725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12800">
      <w:bodyDiv w:val="1"/>
      <w:marLeft w:val="0"/>
      <w:marRight w:val="0"/>
      <w:marTop w:val="0"/>
      <w:marBottom w:val="0"/>
      <w:divBdr>
        <w:top w:val="none" w:sz="0" w:space="0" w:color="auto"/>
        <w:left w:val="none" w:sz="0" w:space="0" w:color="auto"/>
        <w:bottom w:val="none" w:sz="0" w:space="0" w:color="auto"/>
        <w:right w:val="none" w:sz="0" w:space="0" w:color="auto"/>
      </w:divBdr>
    </w:div>
    <w:div w:id="1238591299">
      <w:bodyDiv w:val="1"/>
      <w:marLeft w:val="0"/>
      <w:marRight w:val="0"/>
      <w:marTop w:val="0"/>
      <w:marBottom w:val="0"/>
      <w:divBdr>
        <w:top w:val="none" w:sz="0" w:space="0" w:color="auto"/>
        <w:left w:val="none" w:sz="0" w:space="0" w:color="auto"/>
        <w:bottom w:val="none" w:sz="0" w:space="0" w:color="auto"/>
        <w:right w:val="none" w:sz="0" w:space="0" w:color="auto"/>
      </w:divBdr>
    </w:div>
    <w:div w:id="1329554683">
      <w:bodyDiv w:val="1"/>
      <w:marLeft w:val="0"/>
      <w:marRight w:val="0"/>
      <w:marTop w:val="0"/>
      <w:marBottom w:val="0"/>
      <w:divBdr>
        <w:top w:val="none" w:sz="0" w:space="0" w:color="auto"/>
        <w:left w:val="none" w:sz="0" w:space="0" w:color="auto"/>
        <w:bottom w:val="none" w:sz="0" w:space="0" w:color="auto"/>
        <w:right w:val="none" w:sz="0" w:space="0" w:color="auto"/>
      </w:divBdr>
    </w:div>
    <w:div w:id="164300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388E-9D88-4F15-A8FA-CB660500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2266</Words>
  <Characters>12242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UFSCar</dc:creator>
  <cp:lastModifiedBy>Fabiola</cp:lastModifiedBy>
  <cp:revision>12</cp:revision>
  <cp:lastPrinted>2019-02-05T19:22:00Z</cp:lastPrinted>
  <dcterms:created xsi:type="dcterms:W3CDTF">2018-10-04T02:03:00Z</dcterms:created>
  <dcterms:modified xsi:type="dcterms:W3CDTF">2019-02-05T19:24:00Z</dcterms:modified>
</cp:coreProperties>
</file>